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没有</w:t>
      </w:r>
      <w:r>
        <w:rPr>
          <w:rFonts w:hint="eastAsia" w:ascii="仿宋" w:hAnsi="仿宋" w:eastAsia="仿宋"/>
          <w:color w:val="000000"/>
          <w:sz w:val="32"/>
          <w:szCs w:val="32"/>
        </w:rPr>
        <w:t>安排政府购买服务项目。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3825.834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3825.834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100万元（含100万元）以上项目均按要求填报了《项目支出绩效目标申报表》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，简要情况见下表：</w:t>
      </w:r>
    </w:p>
    <w:tbl>
      <w:tblPr>
        <w:tblStyle w:val="5"/>
        <w:tblW w:w="142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3570"/>
        <w:gridCol w:w="1934"/>
        <w:gridCol w:w="7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绩效目标申报主要内容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水电费差额补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保障体育中心和体育公园正常运行，满足群众健身及举办全区大型比赛活动的正常开展。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体育公园运行经费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保障体育公园场馆等全部健身设备对社会开放后,满足举办各类比赛活动和人民群众健身需求,推动全民健身活动蓬勃开展,促进我区体育事业健康发展。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全民健身工程更新器材购置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完成100套全民健身工程的更新,确保群众安全、科学健身。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提前下达2019年体育事业彩票公益金市对区专项转移支付资金（京财科文指【2018】2173号）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推进全民健身设施多元化建设,提升我区全民健身设施档次，促进我区全民健身活动蓬勃开展。积极完成市体育局下达的各项工作任务。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怀柔区全民健身竞赛活动经费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圆满完成春季长跑等8个项目的全区竞赛活动，提高怀柔区群众全民健身意识，推动全民健身活动蓬勃开展。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北京国际徒步大会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149.95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参与人数1万人。提升怀柔知名度，展示我区承办大型体育赛事的水平和能力，提升怀柔城市形象，促进经济社会发展。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青少年业余训练经费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做好射击、摔跤、自行车、田径、足球、篮球、排球、乒乓球、攀岩、冰壶、滑雪、体能训练等12个项目的训练和比赛任务。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9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3509.95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8514.745873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182.7931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2642.417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219.98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sectPr>
      <w:pgSz w:w="16838" w:h="11906" w:orient="landscape"/>
      <w:pgMar w:top="1797" w:right="1134" w:bottom="179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251377EA"/>
    <w:rsid w:val="2FA500BE"/>
    <w:rsid w:val="3185176B"/>
    <w:rsid w:val="33DF40B0"/>
    <w:rsid w:val="69704A07"/>
    <w:rsid w:val="7F3D16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2019-01-29T07:14:00Z</cp:lastPrinted>
  <dcterms:modified xsi:type="dcterms:W3CDTF">2019-02-01T01:52:49Z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