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both"/>
        <w:rPr>
          <w:rFonts w:ascii="仿宋" w:hAnsi="仿宋" w:cs="仿宋" w:eastAsia="仿宋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b/>
          <w:color w:val="000000"/>
          <w:spacing w:val="0"/>
          <w:position w:val="0"/>
          <w:sz w:val="32"/>
          <w:shd w:fill="auto" w:val="clear"/>
        </w:rPr>
        <w:t xml:space="preserve">2019年补充内容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一、政府购买服务预算说明</w:t>
      </w:r>
    </w:p>
    <w:p>
      <w:pPr>
        <w:spacing w:before="0" w:after="0" w:line="560"/>
        <w:ind w:right="0" w:left="0" w:firstLine="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我单位2019年预算安排无政府购买服务项目。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二、项目支出绩效目标情况说明</w:t>
      </w:r>
    </w:p>
    <w:p>
      <w:pPr>
        <w:spacing w:before="0" w:after="0" w:line="560"/>
        <w:ind w:right="0" w:left="0" w:firstLine="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    本部门2019年预算项目22个，金额共计1258.14万元,其中财政拨款预算项目22个，金额共计1258.14万元，100万元（含100万元）以上项目均按要求填报了《项目支出绩效目标申报表》。</w:t>
      </w: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2019年我单位100万元以上项目共五个，金额898.84万元。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三、重点行政事业性收费情况说明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我单位依照相关法律法规的规定及规章政策，行使城市管理领域的行政处罚权，2019年预计收入290万元。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四、国有资本经营预算财政拨款情况说明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本部门不涉及国有资本经营预算财政拨款情况。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五、国有资产占用情况说明</w:t>
      </w:r>
    </w:p>
    <w:p>
      <w:pPr>
        <w:spacing w:before="0" w:after="0" w:line="560"/>
        <w:ind w:right="0" w:left="0" w:firstLine="64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  <w:t xml:space="preserve">截止2018年底，本部门固定资产总额1577.17万元，其中：车辆7台，197.63万元；单位价值50万元以上的通用设备1套、832.86万元，单位价值100万元以上的专用设备0台（套）、0万元。(截止2018年底，本部门无国有资产占用情况。)</w:t>
      </w:r>
    </w:p>
    <w:p>
      <w:pPr>
        <w:spacing w:before="0" w:after="0" w:line="560"/>
        <w:ind w:right="0" w:left="0" w:firstLine="660"/>
        <w:jc w:val="left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