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仿宋_GB2312"/>
          <w:sz w:val="32"/>
          <w:szCs w:val="32"/>
          <w:lang w:val="en"/>
        </w:rPr>
      </w:pPr>
      <w:r>
        <w:rPr>
          <w:rFonts w:hint="eastAsia" w:ascii="方正小标宋简体" w:hAnsi="方正小标宋简体" w:eastAsia="方正小标宋简体" w:cs="仿宋_GB2312"/>
          <w:sz w:val="32"/>
          <w:szCs w:val="32"/>
          <w:lang w:val="en"/>
        </w:rPr>
        <w:t>农药生产企业是否召回依法应当召回的</w:t>
      </w:r>
      <w:r>
        <w:rPr>
          <w:rFonts w:ascii="方正小标宋简体" w:hAnsi="方正小标宋简体" w:eastAsia="方正小标宋简体" w:cs="仿宋_GB2312"/>
          <w:sz w:val="32"/>
          <w:szCs w:val="32"/>
          <w:lang w:val="en"/>
        </w:rPr>
        <w:t>农药</w:t>
      </w:r>
      <w:r>
        <w:rPr>
          <w:rFonts w:hint="eastAsia" w:ascii="方正小标宋简体" w:hAnsi="方正小标宋简体" w:eastAsia="方正小标宋简体" w:cs="仿宋_GB2312"/>
          <w:sz w:val="32"/>
          <w:szCs w:val="32"/>
          <w:lang w:val="en"/>
        </w:rPr>
        <w:t>检查</w:t>
      </w:r>
      <w:r>
        <w:rPr>
          <w:rFonts w:ascii="方正小标宋简体" w:hAnsi="方正小标宋简体" w:eastAsia="方正小标宋简体" w:cs="仿宋_GB2312"/>
          <w:sz w:val="32"/>
          <w:szCs w:val="32"/>
          <w:lang w:val="en"/>
        </w:rPr>
        <w:t>标准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检查对象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农药生产企业</w:t>
      </w:r>
    </w:p>
    <w:p>
      <w:pPr>
        <w:numPr>
          <w:ilvl w:val="0"/>
          <w:numId w:val="1"/>
        </w:numPr>
        <w:spacing w:line="52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检查方法</w:t>
      </w:r>
    </w:p>
    <w:p>
      <w:pPr>
        <w:numPr>
          <w:ilvl w:val="0"/>
          <w:numId w:val="0"/>
        </w:numPr>
        <w:spacing w:line="520" w:lineRule="exact"/>
        <w:ind w:firstLine="640" w:firstLineChars="200"/>
        <w:outlineLvl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农药生产企业场所，检查生产产品和生产线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52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查阅、复制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农药生产记录和召回通知及记录。</w:t>
      </w:r>
    </w:p>
    <w:p>
      <w:pPr>
        <w:numPr>
          <w:ilvl w:val="0"/>
          <w:numId w:val="0"/>
        </w:numPr>
        <w:spacing w:line="52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询问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农药生产销售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人员、农药生产企业负责人。</w:t>
      </w:r>
    </w:p>
    <w:p>
      <w:pPr>
        <w:numPr>
          <w:ilvl w:val="0"/>
          <w:numId w:val="1"/>
        </w:numPr>
        <w:spacing w:line="520" w:lineRule="exact"/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判定标准</w:t>
      </w:r>
    </w:p>
    <w:p>
      <w:pPr>
        <w:numPr>
          <w:ilvl w:val="0"/>
          <w:numId w:val="0"/>
        </w:numPr>
        <w:spacing w:line="52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存在以下情形“农药生产企业未召回依法应当召回的农药”的，检查项结果为“发现问题”，应当责令改正，并立案调查。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四、说明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开展</w:t>
      </w:r>
      <w:r>
        <w:rPr>
          <w:rFonts w:ascii="仿宋_GB2312" w:hAnsi="仿宋_GB2312" w:eastAsia="仿宋_GB2312" w:cs="仿宋_GB2312"/>
          <w:sz w:val="32"/>
          <w:szCs w:val="32"/>
        </w:rPr>
        <w:t>检查时，</w:t>
      </w:r>
      <w:r>
        <w:rPr>
          <w:rFonts w:hint="eastAsia" w:ascii="仿宋_GB2312" w:hAnsi="仿宋_GB2312" w:eastAsia="仿宋_GB2312" w:cs="仿宋_GB2312"/>
          <w:sz w:val="32"/>
          <w:szCs w:val="32"/>
        </w:rPr>
        <w:t>“农药生产企业是否召回依法应当召回的</w:t>
      </w:r>
      <w:r>
        <w:rPr>
          <w:rFonts w:ascii="仿宋_GB2312" w:hAnsi="仿宋_GB2312" w:eastAsia="仿宋_GB2312" w:cs="仿宋_GB2312"/>
          <w:sz w:val="32"/>
          <w:szCs w:val="32"/>
        </w:rPr>
        <w:t>农药</w:t>
      </w:r>
      <w:r>
        <w:rPr>
          <w:rFonts w:hint="eastAsia" w:ascii="仿宋_GB2312" w:hAnsi="仿宋_GB2312" w:eastAsia="仿宋_GB2312" w:cs="仿宋_GB2312"/>
          <w:sz w:val="32"/>
          <w:szCs w:val="32"/>
        </w:rPr>
        <w:t>”的</w:t>
      </w:r>
      <w:r>
        <w:rPr>
          <w:rFonts w:ascii="仿宋_GB2312" w:hAnsi="仿宋_GB2312" w:eastAsia="仿宋_GB2312" w:cs="仿宋_GB2312"/>
          <w:sz w:val="32"/>
          <w:szCs w:val="32"/>
        </w:rPr>
        <w:t>行为认定应</w:t>
      </w:r>
      <w:r>
        <w:rPr>
          <w:rFonts w:hint="eastAsia" w:ascii="仿宋_GB2312" w:hAnsi="仿宋_GB2312" w:eastAsia="仿宋_GB2312" w:cs="仿宋_GB2312"/>
          <w:sz w:val="32"/>
          <w:szCs w:val="32"/>
        </w:rPr>
        <w:t>考虑农药</w:t>
      </w:r>
      <w:r>
        <w:rPr>
          <w:rFonts w:ascii="仿宋_GB2312" w:hAnsi="仿宋_GB2312" w:eastAsia="仿宋_GB2312" w:cs="仿宋_GB2312"/>
          <w:sz w:val="32"/>
          <w:szCs w:val="32"/>
        </w:rPr>
        <w:t>生产企业以下行为：</w:t>
      </w:r>
      <w:r>
        <w:rPr>
          <w:rFonts w:hint="eastAsia" w:ascii="仿宋_GB2312" w:hAnsi="仿宋_GB2312" w:eastAsia="仿宋_GB2312" w:cs="仿宋_GB2312"/>
          <w:sz w:val="32"/>
          <w:szCs w:val="32"/>
        </w:rPr>
        <w:t>农药生产企业发现其生产的农药对农业、林业、人畜安全、农产品质量安全、生态环境等有严重危害或者较大风险的，是否立即停止生产，是否通知有关经营者和使用者，是否向所在地农业主管部门报告，是否主动召回产品，并记录通知和召回情况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五、附件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《农药管理条例》第四十二条规定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国家建立农药召回制度。农药生产企业发现其生产的农药对农业、林业、人畜安全、农产品质量安全、生态环境等有严重危害或者较大风险的，应当立即停止生产，通知有关经营者和使用者，向所在地农业主管部门报告，主动召回产品，并记录通知和召回情况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《农药管理条例》第五十三条　农药生产企业有下列行为之一的，由县级以上地方人民政府农业主管部门责令改正，没收违法所得、违法生产的产品和用于违法生产的原材料等，违法生产的产品货值金额不足1万元的，并处1万元以上2万元以下罚款，货值金额1万元以上的，并处货值金额2倍以上5倍以下罚款；拒不改正或者情节严重的，由发证机关吊销农药生产许可证和相应的农药登记证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（四）不召回依法应当召回的农药。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DF64B5"/>
    <w:multiLevelType w:val="singleLevel"/>
    <w:tmpl w:val="5DDF64B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11"/>
    <w:rsid w:val="00281914"/>
    <w:rsid w:val="003B1A11"/>
    <w:rsid w:val="0079077A"/>
    <w:rsid w:val="008405A7"/>
    <w:rsid w:val="00894118"/>
    <w:rsid w:val="00F10859"/>
    <w:rsid w:val="63CB6988"/>
    <w:rsid w:val="E7DD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Lines="0" w:afterAutospacing="0"/>
    </w:pPr>
    <w:rPr>
      <w:rFonts w:ascii="Courier New" w:hAnsi="Courier New" w:cs="Courier New"/>
      <w:color w:val="000000"/>
      <w:szCs w:val="24"/>
      <w:shd w:val="clear" w:color="auto" w:fill="auto"/>
      <w:lang w:eastAsia="en-US" w:bidi="en-US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380</Characters>
  <Lines>3</Lines>
  <Paragraphs>1</Paragraphs>
  <TotalTime>2</TotalTime>
  <ScaleCrop>false</ScaleCrop>
  <LinksUpToDate>false</LinksUpToDate>
  <CharactersWithSpaces>445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2021-10-13T00:48:00Z</dcterms:created>
  <dc:creator>BGS</dc:creator>
  <cp:lastModifiedBy>nyncj</cp:lastModifiedBy>
  <dcterms:modified xsi:type="dcterms:W3CDTF">2022-01-14T14:05:30Z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