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农药生产企业是否执行原材料进货、农药出厂销售记录制度，或者履行农药废弃物回收义务的</w:t>
      </w:r>
      <w:r>
        <w:rPr>
          <w:rFonts w:ascii="方正小标宋简体" w:hAnsi="方正小标宋简体" w:eastAsia="方正小标宋简体" w:cs="仿宋_GB2312"/>
          <w:sz w:val="32"/>
          <w:szCs w:val="32"/>
          <w:lang w:val="en"/>
        </w:rPr>
        <w:t>农药</w:t>
      </w:r>
      <w:r>
        <w:rPr>
          <w:rFonts w:hint="eastAsia" w:ascii="方正小标宋简体" w:hAnsi="方正小标宋简体" w:eastAsia="方正小标宋简体" w:cs="仿宋_GB2312"/>
          <w:sz w:val="32"/>
          <w:szCs w:val="32"/>
          <w:lang w:val="en"/>
        </w:rPr>
        <w:t>检查</w:t>
      </w:r>
      <w:r>
        <w:rPr>
          <w:rFonts w:ascii="方正小标宋简体" w:hAnsi="方正小标宋简体" w:eastAsia="方正小标宋简体" w:cs="仿宋_GB2312"/>
          <w:sz w:val="32"/>
          <w:szCs w:val="32"/>
          <w:lang w:val="en"/>
        </w:rPr>
        <w:t>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农药生产企业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农药生产企业场所，检查生产产品和生产线</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原材料进货、农药出厂销售记录制度。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人员、农药生产企业负责人履行农药废弃物回收义务的制度及开展情况。</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农业生产企业存在下列情形之一的，检查项结果为“发现问题”，应当责令改正，并立案调查。</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1.农药生产企业未执行原材料进货记录制度；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2.农药生产企业未执行农药出厂销售记录制度；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3.农药生产企业未履行农药废弃物回收义务。</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四、说明</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“农药生产企业</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执行原材料进货</w:t>
      </w:r>
      <w:r>
        <w:rPr>
          <w:rFonts w:hint="eastAsia" w:ascii="仿宋_GB2312" w:hAnsi="仿宋_GB2312" w:eastAsia="仿宋_GB2312" w:cs="仿宋_GB2312"/>
          <w:sz w:val="32"/>
          <w:szCs w:val="32"/>
          <w:lang w:eastAsia="zh-CN"/>
        </w:rPr>
        <w:t>记录制度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是指</w:t>
      </w:r>
      <w:r>
        <w:rPr>
          <w:rFonts w:ascii="仿宋_GB2312" w:hAnsi="仿宋_GB2312" w:eastAsia="仿宋_GB2312" w:cs="仿宋_GB2312"/>
          <w:sz w:val="32"/>
          <w:szCs w:val="32"/>
          <w:lang w:val="en"/>
        </w:rPr>
        <w:t>农药生产企业</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建立原材料进货记录制度，</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如实记录原材料的名称、有关许可证明文件编号、规格、数量、供货人名称及其联系方式、进货日期等内容。原材料进货记录</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保存2年以上</w:t>
      </w:r>
      <w:r>
        <w:rPr>
          <w:rFonts w:hint="eastAsia" w:ascii="仿宋_GB2312" w:hAnsi="仿宋_GB2312" w:eastAsia="仿宋_GB2312" w:cs="仿宋_GB2312"/>
          <w:sz w:val="32"/>
          <w:szCs w:val="32"/>
          <w:lang w:val="en" w:eastAsia="zh-CN"/>
        </w:rPr>
        <w:t>。</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“农药生产企业</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执行农药出厂销售记录”</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lang w:val="en"/>
        </w:rPr>
        <w:t>生产企业</w:t>
      </w:r>
      <w:r>
        <w:rPr>
          <w:rFonts w:hint="eastAsia" w:ascii="仿宋_GB2312" w:hAnsi="仿宋_GB2312" w:eastAsia="仿宋_GB2312" w:cs="仿宋_GB2312"/>
          <w:sz w:val="32"/>
          <w:szCs w:val="32"/>
          <w:lang w:val="en" w:eastAsia="zh-CN"/>
        </w:rPr>
        <w:t>未未建立</w:t>
      </w:r>
      <w:r>
        <w:rPr>
          <w:rFonts w:hint="eastAsia" w:ascii="仿宋_GB2312" w:hAnsi="仿宋_GB2312" w:eastAsia="仿宋_GB2312" w:cs="仿宋_GB2312"/>
          <w:sz w:val="32"/>
          <w:szCs w:val="32"/>
        </w:rPr>
        <w:t>出厂销售记录制度</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如实记录农药的名称、规格、数量、生产日期和批号、产品质量检验信息、购货人名称及其联系方式、销售日期等内容的农药出厂销售记录制度，农药出厂销售记录</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保存2年以上。</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农药包装废弃物，</w:t>
      </w:r>
      <w:r>
        <w:rPr>
          <w:rFonts w:hint="eastAsia" w:ascii="仿宋_GB2312" w:hAnsi="仿宋_GB2312" w:eastAsia="仿宋_GB2312" w:cs="仿宋_GB2312"/>
          <w:sz w:val="32"/>
          <w:szCs w:val="32"/>
          <w:lang w:eastAsia="zh-CN"/>
        </w:rPr>
        <w:t>根据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是指农药使用后被废弃的与农药直接接触或含有农药残余物的包装物，包括瓶、罐、桶、袋等。</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“农药生产</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履行农药废弃物回收义务”行为</w:t>
      </w:r>
      <w:r>
        <w:rPr>
          <w:rFonts w:ascii="仿宋_GB2312" w:hAnsi="仿宋_GB2312" w:eastAsia="仿宋_GB2312" w:cs="仿宋_GB2312"/>
          <w:sz w:val="32"/>
          <w:szCs w:val="32"/>
        </w:rPr>
        <w:t>的认定</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农药生产</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无农药包装废弃物回收处理制度及行为、未及时回收农药包装废弃物并进行处理</w:t>
      </w:r>
      <w:r>
        <w:rPr>
          <w:rFonts w:hint="eastAsia"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七规定，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第六条 农药生产者（含向中国出口农药的企业）、经营者和使用者应当积极履行农药包装废弃物回收处理义务，及时回收农药包装废弃物并进行处理。  </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农药生产者、经营者应当按照“谁生产、经营，谁回收”的原则，履行相应的农药包装废弃物回收义务。农药生产者、经营者可以协商确定农药包装废弃物回收义务的具体履行方式。   </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农药经营者应当在其经营场所设立农药包装废弃物回收装置，不得拒收其销售农药的包装废弃物。  </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农药生产者、经营者应当采取有效措施，引导农药使用者及时交回农药包装废弃物。  </w:t>
      </w:r>
    </w:p>
    <w:p>
      <w:pPr>
        <w:pStyle w:val="2"/>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《农药管理条例》第五十四条　农药生产企业不执行原材料进货、农</w:t>
      </w:r>
      <w:bookmarkStart w:id="0" w:name="_GoBack"/>
      <w:bookmarkEnd w:id="0"/>
      <w:r>
        <w:rPr>
          <w:rFonts w:hint="default" w:ascii="仿宋_GB2312" w:hAnsi="仿宋_GB2312" w:eastAsia="仿宋_GB2312" w:cs="仿宋_GB2312"/>
          <w:sz w:val="32"/>
          <w:szCs w:val="32"/>
          <w:lang w:val="en-US" w:eastAsia="zh-CN"/>
        </w:rPr>
        <w:t>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spacing w:line="520" w:lineRule="exact"/>
        <w:ind w:firstLine="640" w:firstLineChars="200"/>
        <w:rPr>
          <w:rFonts w:ascii="仿宋_GB2312" w:hAnsi="仿宋_GB2312" w:eastAsia="仿宋_GB2312" w:cs="仿宋_GB2312"/>
          <w:sz w:val="32"/>
          <w:szCs w:val="32"/>
        </w:rPr>
      </w:pPr>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0"/>
    <w:rsid w:val="00452BAC"/>
    <w:rsid w:val="004C0D38"/>
    <w:rsid w:val="0056691F"/>
    <w:rsid w:val="00573C10"/>
    <w:rsid w:val="00BB63B5"/>
    <w:rsid w:val="00DA50D2"/>
    <w:rsid w:val="9EF9A3AE"/>
    <w:rsid w:val="F28F9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683</Characters>
  <Lines>5</Lines>
  <Paragraphs>1</Paragraphs>
  <TotalTime>4</TotalTime>
  <ScaleCrop>false</ScaleCrop>
  <LinksUpToDate>false</LinksUpToDate>
  <CharactersWithSpaces>801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2021-10-13T17:19:00Z</dcterms:created>
  <dc:creator>BGS</dc:creator>
  <cp:lastModifiedBy>nyncj</cp:lastModifiedBy>
  <dcterms:modified xsi:type="dcterms:W3CDTF">2022-01-14T14:06:39Z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