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 w:cs="仿宋_GB2312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_GB2312" w:hAnsi="黑体" w:eastAsia="仿宋_GB2312" w:cs="仿宋_GB2312"/>
          <w:b/>
          <w:color w:val="auto"/>
          <w:sz w:val="32"/>
          <w:szCs w:val="32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2"/>
          <w:szCs w:val="32"/>
        </w:rPr>
        <w:t>C2318100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水务006水环境保护检查单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水环境保护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河湖-12 擅自砍伐护堤护岸林木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擅自砍伐护堤护岸林木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pStyle w:val="2"/>
        <w:shd w:val="clear" w:color="auto" w:fill="FFFFFF"/>
        <w:spacing w:before="0" w:beforeAutospacing="0" w:after="0" w:afterAutospacing="0"/>
        <w:ind w:firstLine="642" w:firstLineChars="200"/>
        <w:rPr>
          <w:rFonts w:hint="eastAsia" w:ascii="����" w:hAnsi="����"/>
          <w:b w:val="0"/>
          <w:bCs w:val="0"/>
          <w:color w:val="5871B7"/>
          <w:sz w:val="23"/>
          <w:szCs w:val="23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《中华人民共和国河道管理条例》（2018年3月19日修订版）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违反本条例规定，有下列行为之一的，县级以上地方人民政府河道主管机关除责令其纠正违法行为、采取补救措施外，可以并处警告、罚款、没收非法所得；对有关责任人员，由其所在单位或者上级主管机关给予行政处分；构成犯罪的，依法追究刑事责任：（七）擅自砍伐护堤护岸林木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6E64E3"/>
    <w:rsid w:val="00797192"/>
    <w:rsid w:val="008C572A"/>
    <w:rsid w:val="00A27465"/>
    <w:rsid w:val="00B827F3"/>
    <w:rsid w:val="00C554AB"/>
    <w:rsid w:val="00DA7367"/>
    <w:rsid w:val="00F73956"/>
    <w:rsid w:val="00FA1FAA"/>
    <w:rsid w:val="7F6FDB76"/>
    <w:rsid w:val="7F7742C5"/>
    <w:rsid w:val="BFE7DC22"/>
    <w:rsid w:val="FC56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291</Words>
  <Characters>33</Characters>
  <Lines>1</Lines>
  <Paragraphs>1</Paragraphs>
  <TotalTime>0</TotalTime>
  <ScaleCrop>false</ScaleCrop>
  <LinksUpToDate>false</LinksUpToDate>
  <CharactersWithSpaces>323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2021-11-12T18:05:00Z</dcterms:created>
  <dc:creator>shuiwuju</dc:creator>
  <cp:lastModifiedBy>shuiwuju</cp:lastModifiedBy>
  <dcterms:modified xsi:type="dcterms:W3CDTF">2021-12-29T15:36:22Z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