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 w:cs="仿宋_GB2312"/>
          <w:b/>
          <w:color w:val="auto"/>
          <w:sz w:val="30"/>
          <w:szCs w:val="30"/>
          <w:shd w:val="clear" w:color="FFFFFF" w:fill="D9D9D9"/>
        </w:rPr>
      </w:pPr>
      <w:bookmarkStart w:id="0" w:name="_GoBack"/>
      <w:r>
        <w:rPr>
          <w:rFonts w:hint="eastAsia" w:ascii="仿宋_GB2312" w:hAnsi="黑体" w:eastAsia="仿宋_GB2312" w:cs="仿宋_GB2312"/>
          <w:b/>
          <w:color w:val="auto"/>
          <w:sz w:val="30"/>
          <w:szCs w:val="30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0"/>
          <w:szCs w:val="30"/>
        </w:rPr>
        <w:t>C2320300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1.检查单：</w:t>
      </w:r>
      <w:r>
        <w:rPr>
          <w:rFonts w:hint="eastAsia" w:ascii="仿宋_GB2312" w:hAnsi="仿宋_GB2312" w:eastAsia="仿宋_GB2312" w:cs="仿宋_GB2312"/>
          <w:sz w:val="30"/>
          <w:szCs w:val="30"/>
        </w:rPr>
        <w:t>水务007水工程保护检查单、水务008水环境水工程保护检查单（街乡）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2.检查模块：</w:t>
      </w:r>
      <w:r>
        <w:rPr>
          <w:rFonts w:hint="eastAsia" w:ascii="仿宋_GB2312" w:hAnsi="仿宋_GB2312" w:eastAsia="仿宋_GB2312" w:cs="仿宋_GB2312"/>
          <w:sz w:val="30"/>
          <w:szCs w:val="30"/>
        </w:rPr>
        <w:t>水工程保护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3.检查项：</w:t>
      </w:r>
      <w:r>
        <w:rPr>
          <w:rFonts w:hint="eastAsia" w:ascii="仿宋_GB2312" w:hAnsi="仿宋_GB2312" w:eastAsia="仿宋_GB2312" w:cs="仿宋_GB2312"/>
          <w:sz w:val="30"/>
          <w:szCs w:val="30"/>
        </w:rPr>
        <w:t>河湖-16 在河湖管理范围、保护范围内围河、挖筑鱼塘、挖坑开槽、勘探或设立线杆线塔、无线通信塔、标识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4.检查内容：</w:t>
      </w:r>
      <w:r>
        <w:rPr>
          <w:rFonts w:hint="eastAsia" w:ascii="仿宋_GB2312" w:hAnsi="仿宋_GB2312" w:eastAsia="仿宋_GB2312" w:cs="仿宋_GB2312"/>
          <w:sz w:val="30"/>
          <w:szCs w:val="30"/>
        </w:rPr>
        <w:t>在河湖管理范围、保护范围内围河、挖筑鱼塘、挖坑开槽、勘探或设立线杆线塔、无线通信塔、标识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5.检查标准：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2" w:firstLineChars="200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</w:rPr>
        <w:t>《北京市河湖保护管理条例》（2019年7月26日修订版）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0"/>
          <w:szCs w:val="30"/>
        </w:rPr>
        <w:t>依据条款：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第二十条 </w:t>
      </w:r>
      <w:r>
        <w:rPr>
          <w:rFonts w:hint="eastAsia" w:ascii="仿宋_GB2312" w:hAnsi="仿宋_GB2312" w:eastAsia="仿宋_GB2312" w:cs="仿宋_GB2312"/>
          <w:sz w:val="30"/>
          <w:szCs w:val="30"/>
        </w:rPr>
        <w:t>在河湖管理范围、保护范围内进行下列活动的，必须报经有管辖权的水行政主管部门批准；涉及其他部门的，按照有关规定执行：(二)围河、挖筑鱼塘、挖坑开槽、勘探，或者设立线杆、线塔、无线通信塔、标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第三十九条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违反本条例第二十条规定，未经水行政主管部门批准，擅自在河湖管理范围、保护范围内从事以下活动的，由水行政主管部门按照管辖权限责令停止违法行为，限期补办行政许可手续，并按以下规定予以处罚；逾期未能取得行政许可手续的，责令限期恢复原状，赔偿损失或者采取补救措施。逾期不恢复原状的，按程序依法强制清除，所需费用由当事人承担：(一)围河、挖筑鱼塘、挖坑开槽、勘探或者设立线杆、线塔、无线通信塔、标识，或者建设临时性建筑物、构筑物的，处1万元以上5万元以下的罚款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6E64E3"/>
    <w:rsid w:val="0074413C"/>
    <w:rsid w:val="00797192"/>
    <w:rsid w:val="00976736"/>
    <w:rsid w:val="00A27465"/>
    <w:rsid w:val="00B827F3"/>
    <w:rsid w:val="00C554AB"/>
    <w:rsid w:val="00E50991"/>
    <w:rsid w:val="00F73956"/>
    <w:rsid w:val="00FA1FAA"/>
    <w:rsid w:val="463429A2"/>
    <w:rsid w:val="5FBE046C"/>
    <w:rsid w:val="6A5D8274"/>
    <w:rsid w:val="6EC12D88"/>
    <w:rsid w:val="7BBED1D0"/>
    <w:rsid w:val="7DBC538F"/>
    <w:rsid w:val="7F6FDB76"/>
    <w:rsid w:val="7F7742C5"/>
    <w:rsid w:val="EF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2</Pages>
  <Words>573</Words>
  <Characters>37</Characters>
  <Lines>1</Lines>
  <Paragraphs>1</Paragraphs>
  <TotalTime>0</TotalTime>
  <ScaleCrop>false</ScaleCrop>
  <LinksUpToDate>false</LinksUpToDate>
  <CharactersWithSpaces>609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2021-11-13T02:05:00Z</dcterms:created>
  <dc:creator>shuiwuju</dc:creator>
  <cp:lastModifiedBy>shuiwuju</cp:lastModifiedBy>
  <dcterms:modified xsi:type="dcterms:W3CDTF">2021-12-29T16:03:10Z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