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黑体" w:eastAsia="仿宋_GB2312" w:cs="仿宋_GB2312"/>
          <w:b/>
          <w:color w:val="auto"/>
          <w:sz w:val="32"/>
          <w:szCs w:val="32"/>
          <w:shd w:val="clear" w:color="FFFFFF" w:fill="D9D9D9"/>
        </w:rPr>
      </w:pPr>
      <w:r>
        <w:rPr>
          <w:rFonts w:hint="eastAsia" w:ascii="仿宋_GB2312" w:hAnsi="黑体" w:eastAsia="仿宋_GB2312" w:cs="仿宋_GB2312"/>
          <w:b/>
          <w:color w:val="auto"/>
          <w:sz w:val="32"/>
          <w:szCs w:val="32"/>
        </w:rPr>
        <w:t>职权编号：</w:t>
      </w:r>
      <w:r>
        <w:rPr>
          <w:rFonts w:ascii="仿宋_GB2312" w:hAnsi="黑体" w:eastAsia="仿宋_GB2312" w:cs="仿宋_GB2312"/>
          <w:b/>
          <w:color w:val="auto"/>
          <w:sz w:val="32"/>
          <w:szCs w:val="32"/>
        </w:rPr>
        <w:t>C2351000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水务006-水环境保护检查单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水环境保护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河湖-33 在江河、湖泊、水库、运河、渠道内弃置、堆放阻碍行洪的物体和种植阻碍行洪的林木及高秆作物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在江河、湖泊、水库、运河、渠道内弃置、堆放阻碍行洪的物体和种植阻碍行洪的林木及高秆作物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pStyle w:val="2"/>
        <w:shd w:val="clear" w:color="auto" w:fill="FFFFFF"/>
        <w:spacing w:before="0" w:beforeAutospacing="0" w:after="0" w:afterAutospacing="0"/>
        <w:ind w:firstLine="642" w:firstLineChars="200"/>
        <w:rPr>
          <w:rFonts w:hint="eastAsia" w:ascii="����" w:hAnsi="����"/>
          <w:b w:val="0"/>
          <w:bCs w:val="0"/>
          <w:color w:val="5871B7"/>
          <w:sz w:val="23"/>
          <w:szCs w:val="23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5.1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依据名称：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《北京市河湖保护管理条例》（2019年7月26日修订版）</w:t>
      </w: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5.2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widowControl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第十九条 </w:t>
      </w:r>
      <w:r>
        <w:rPr>
          <w:rFonts w:hint="eastAsia" w:ascii="仿宋_GB2312" w:hAnsi="仿宋_GB2312" w:eastAsia="仿宋_GB2312" w:cs="仿宋_GB2312"/>
          <w:sz w:val="32"/>
          <w:szCs w:val="32"/>
        </w:rPr>
        <w:t>在河湖管理范围内，禁止下列行为：(四)在行洪河道内种植有碍行洪的林木和高杆作物。</w:t>
      </w:r>
    </w:p>
    <w:p>
      <w:pPr>
        <w:ind w:firstLine="642" w:firstLineChars="200"/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第三十八条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违反本条例第十九条规定，由水行政主管部门责令停止违法行为，排除阻碍或者采取其他补救措施，有第(一)项规定行为的，处1万元以上5万元以下罚款；有其他项规定行为的，可以处5万元以下罚款，有违法所得的，没收违法所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DB76"/>
    <w:rsid w:val="00012BF3"/>
    <w:rsid w:val="001826D2"/>
    <w:rsid w:val="00206FA8"/>
    <w:rsid w:val="006B1CA7"/>
    <w:rsid w:val="006E64E3"/>
    <w:rsid w:val="00797192"/>
    <w:rsid w:val="0086116D"/>
    <w:rsid w:val="008C572A"/>
    <w:rsid w:val="00A27465"/>
    <w:rsid w:val="00B827F3"/>
    <w:rsid w:val="00C554AB"/>
    <w:rsid w:val="00DA7367"/>
    <w:rsid w:val="00F73956"/>
    <w:rsid w:val="00FA1FAA"/>
    <w:rsid w:val="7F6FDB76"/>
    <w:rsid w:val="7F7742C5"/>
    <w:rsid w:val="EFF789CD"/>
    <w:rsid w:val="FEE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uppressAutoHyphens w:val="0"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JETSEN Technology Co., Ltd.</Company>
  <Pages>1</Pages>
  <Words>376</Words>
  <Characters>36</Characters>
  <Lines>1</Lines>
  <Paragraphs>1</Paragraphs>
  <TotalTime>0</TotalTime>
  <ScaleCrop>false</ScaleCrop>
  <LinksUpToDate>false</LinksUpToDate>
  <CharactersWithSpaces>411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2021-11-12T18:05:00Z</dcterms:created>
  <dc:creator>shuiwuju</dc:creator>
  <cp:lastModifiedBy>shuiwuju</cp:lastModifiedBy>
  <dcterms:modified xsi:type="dcterms:W3CDTF">2021-12-29T16:09:10Z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