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C2329000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水务022-水利工程建设管理检查单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sz w:val="32"/>
          <w:szCs w:val="32"/>
        </w:rPr>
        <w:t>勘察设计单位责任义务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设计单位-2 是否指定水务工程建筑材料、建筑构配件的生产厂、供应商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设计单位是否指定水务工程建筑材料、建筑构配件的生产厂、供应商</w:t>
      </w:r>
      <w:bookmarkStart w:id="0" w:name="_GoBack"/>
      <w:bookmarkEnd w:id="0"/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uppressAutoHyphens/>
        <w:spacing w:line="600" w:lineRule="exact"/>
        <w:ind w:firstLine="642" w:firstLineChars="200"/>
        <w:jc w:val="left"/>
        <w:rPr>
          <w:rFonts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依据名称：依据名称：《建设工程质量管理条例》</w:t>
      </w:r>
    </w:p>
    <w:p>
      <w:pPr>
        <w:widowControl/>
        <w:suppressAutoHyphens/>
        <w:spacing w:line="600" w:lineRule="exact"/>
        <w:ind w:firstLine="640"/>
        <w:rPr>
          <w:rFonts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第二十二条</w:t>
      </w:r>
      <w:r>
        <w:rPr>
          <w:rFonts w:hint="eastAsia" w:ascii="仿宋_GB2312" w:hAnsi="仿宋_GB2312" w:eastAsia="仿宋_GB2312" w:cs="仿宋_GB2312"/>
          <w:sz w:val="32"/>
          <w:szCs w:val="32"/>
        </w:rPr>
        <w:t>第二款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eastAsia="仿宋_GB2312" w:cs="仿宋_GB2312"/>
          <w:sz w:val="32"/>
          <w:szCs w:val="32"/>
        </w:rPr>
        <w:t>除有特殊要求的建筑材料、专用设备、工艺生产线等外，设计单位不得指定生产厂、供应商。</w:t>
      </w:r>
    </w:p>
    <w:p>
      <w:pPr>
        <w:widowControl/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6F"/>
    <w:rsid w:val="00211605"/>
    <w:rsid w:val="00261336"/>
    <w:rsid w:val="002A706F"/>
    <w:rsid w:val="00A9265C"/>
    <w:rsid w:val="F7FFF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192</Characters>
  <Lines>1</Lines>
  <Paragraphs>1</Paragraphs>
  <TotalTime>1</TotalTime>
  <ScaleCrop>false</ScaleCrop>
  <LinksUpToDate>false</LinksUpToDate>
  <CharactersWithSpaces>224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2021-12-12T10:52:00Z</dcterms:created>
  <dc:creator>OTEC-JW</dc:creator>
  <cp:lastModifiedBy>shuiwuju</cp:lastModifiedBy>
  <dcterms:modified xsi:type="dcterms:W3CDTF">2022-01-11T15:26:25Z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