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2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北京市创新型中小企业评价资料清单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企业最新一期社保缴纳证明。如企业使用合并报表财务数据，需将合并范围内的相关企业人数一并纳入从业人数统计，并提供所有相关企业的社保缴纳证明。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近三年（20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年1月至今）获得的国家级、省级科技奖励获奖证书或获奖公告。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hint="eastAsia" w:ascii="仿宋" w:hAnsi="仿宋" w:eastAsia="仿宋"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企业拥有的省部级以上研发机构的授牌或公示证明材料。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近三年内（20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8.</w:t>
      </w:r>
      <w:r>
        <w:rPr>
          <w:rFonts w:hint="eastAsia" w:ascii="仿宋" w:hAnsi="仿宋" w:eastAsia="仿宋"/>
          <w:sz w:val="32"/>
          <w:szCs w:val="32"/>
        </w:rPr>
        <w:t>经会计师事务所审计的202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、202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年度审计报告。财务审计报告未列明该年度研发费用支出金额的，提交经会计师事务所审计的研发费用专项审计报告。根据《北京市注册会计师协会关于业务报告统一编码报备系统运行的通知》（京会协【2021】193号），2022年1月1日起，企业提供的北京地区会计师事务所出具的财务审计报告、专项审计报告等，需在北京注协报备系统进行备案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I类、II类知识产权一览表（详见附件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2-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-1、附件2-1-2</w:t>
      </w:r>
      <w:r>
        <w:rPr>
          <w:rFonts w:hint="eastAsia" w:ascii="仿宋" w:hAnsi="仿宋" w:eastAsia="仿宋"/>
          <w:sz w:val="32"/>
          <w:szCs w:val="32"/>
        </w:rPr>
        <w:t>）、相关证明材料（知识产权证书等；如涉及转让，证明文件需包含专利转让年限等相关信息的材料），以及I类高价值知识产权自证材料。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10.创新型中小企业</w:t>
      </w:r>
      <w:r>
        <w:rPr>
          <w:rFonts w:hint="eastAsia" w:ascii="仿宋" w:hAnsi="仿宋" w:eastAsia="仿宋" w:cs="仿宋_GB2312"/>
          <w:sz w:val="32"/>
          <w:szCs w:val="32"/>
        </w:rPr>
        <w:t>申报承诺书。（附件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2-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2）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2" w:firstLineChars="200"/>
        <w:outlineLvl w:val="0"/>
        <w:rPr>
          <w:rFonts w:eastAsia="仿宋"/>
          <w:b/>
          <w:bCs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注： 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上述材料请按清单所列顺序依次分类提供，涉及的各类情况说明须加盖企业公章。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2.</w:t>
      </w:r>
      <w:r>
        <w:rPr>
          <w:rFonts w:hint="eastAsia" w:ascii="仿宋" w:hAnsi="仿宋" w:eastAsia="仿宋" w:cs="仿宋"/>
          <w:sz w:val="32"/>
          <w:szCs w:val="32"/>
        </w:rPr>
        <w:t>申报创新型直通条件的企业，可只提供第1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项，其中1</w:t>
      </w:r>
      <w:r>
        <w:rPr>
          <w:rFonts w:ascii="仿宋" w:hAnsi="仿宋" w:eastAsia="仿宋" w:cs="仿宋"/>
          <w:sz w:val="32"/>
          <w:szCs w:val="32"/>
        </w:rPr>
        <w:t>-3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项必须提供，4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项须提供相关资料。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 3.</w:t>
      </w:r>
      <w:r>
        <w:rPr>
          <w:rFonts w:hint="eastAsia" w:ascii="仿宋" w:hAnsi="仿宋" w:eastAsia="仿宋" w:cs="仿宋"/>
          <w:sz w:val="32"/>
          <w:szCs w:val="32"/>
        </w:rPr>
        <w:t>资料清单仅供参考，企业申报时根据工商属地原则，以注册地所属区中小企业主管部门发布的通知要求为准。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734612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2204368D"/>
    <w:rsid w:val="27421E91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6EC7CBF1"/>
    <w:rsid w:val="739318C5"/>
    <w:rsid w:val="74A64348"/>
    <w:rsid w:val="77DFBAB1"/>
    <w:rsid w:val="7CAB6321"/>
    <w:rsid w:val="EE5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721</Characters>
  <Lines>6</Lines>
  <Paragraphs>1</Paragraphs>
  <TotalTime>21</TotalTime>
  <ScaleCrop>false</ScaleCrop>
  <LinksUpToDate>false</LinksUpToDate>
  <CharactersWithSpaces>846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2020-06-10T19:19:00Z</dcterms:created>
  <dc:creator>小福</dc:creator>
  <cp:lastModifiedBy>user</cp:lastModifiedBy>
  <dcterms:modified xsi:type="dcterms:W3CDTF">2023-02-02T11:02:23Z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D06095E52E3840CCBEA672414C5A61D0</vt:lpwstr>
  </property>
</Properties>
</file>