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b/>
          <w:color w:val="000000"/>
          <w:spacing w:val="0"/>
          <w:position w:val="0"/>
          <w:sz w:val="32"/>
          <w:shd w:fill="auto" w:val="clear"/>
        </w:rPr>
        <w:t xml:space="preserve">2018年补充内容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一、政府购买服务预算说明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   </w:t>
      </w: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  我单位2018年预算安排政府购买服务项目2个，金额共计150万元。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二、项目支出绩效目标情况说明</w:t>
      </w:r>
    </w:p>
    <w:p>
      <w:pPr>
        <w:spacing w:before="0" w:after="0" w:line="560"/>
        <w:ind w:right="0" w:left="0" w:firstLine="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    本部门2018年预算项目22个，金额共计1968.09万元,其中财政拨款预算项目22个，金额共计1968.09万元，100万元（含100万元）以上项目均按要求填报了《项目支出绩效目标申报表》。2018年我单位100万元以上项目共四个，金额1447.52万元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三、重点行政事业性收费情况说明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我单位依照相关法律法规的规定及规章政策，行使城市管理领域的行政处罚权，2018年预计收入290万元。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四、国有资本经营预算财政拨款情况说明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本部门不涉及国有资本经营预算财政拨款情况。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五、国有资产占用情况说明</w:t>
      </w:r>
    </w:p>
    <w:p>
      <w:pPr>
        <w:spacing w:before="0" w:after="0" w:line="560"/>
        <w:ind w:right="0" w:left="0" w:firstLine="640"/>
        <w:jc w:val="both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  <w:t xml:space="preserve">截止2017年底，本部门固定资产总额1671.33万元，其中：车辆32台，520.00万元；单位价值50万元以上的通用设备1套513.89万元，单位价值100万元以上的专用设备0台（套）、0万元。(截止2017年底，本部门无国有资产占用情况。)</w:t>
      </w:r>
    </w:p>
    <w:p>
      <w:pPr>
        <w:spacing w:before="0" w:after="0" w:line="560"/>
        <w:ind w:right="0" w:left="0" w:firstLine="660"/>
        <w:jc w:val="left"/>
        <w:rPr>
          <w:rFonts w:ascii="仿宋" w:hAnsi="仿宋" w:cs="仿宋" w:eastAsia="仿宋"/>
          <w:color w:val="000000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