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4F7B3">
      <w:pPr>
        <w:spacing w:line="560" w:lineRule="exact"/>
        <w:rPr>
          <w:rFonts w:ascii="仿宋" w:hAnsi="仿宋" w:eastAsia="仿宋"/>
          <w:b/>
          <w:color w:val="000000"/>
          <w:sz w:val="32"/>
          <w:szCs w:val="32"/>
        </w:rPr>
      </w:pPr>
      <w:r>
        <w:rPr>
          <w:rFonts w:hint="eastAsia" w:ascii="仿宋" w:hAnsi="仿宋" w:eastAsia="仿宋"/>
          <w:b/>
          <w:color w:val="000000"/>
          <w:sz w:val="32"/>
          <w:szCs w:val="32"/>
        </w:rPr>
        <w:t>2018年补充内容</w:t>
      </w:r>
    </w:p>
    <w:p w14:paraId="2F47C8D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一、政府购买服务</w:t>
      </w:r>
      <w:r>
        <w:rPr>
          <w:rFonts w:ascii="仿宋" w:hAnsi="仿宋" w:eastAsia="仿宋"/>
          <w:color w:val="000000"/>
          <w:sz w:val="32"/>
          <w:szCs w:val="32"/>
        </w:rPr>
        <w:t>预算说明</w:t>
      </w:r>
    </w:p>
    <w:p w14:paraId="5BB92482">
      <w:pPr>
        <w:spacing w:line="560" w:lineRule="exact"/>
        <w:rPr>
          <w:rFonts w:ascii="仿宋" w:hAnsi="仿宋" w:eastAsia="仿宋"/>
          <w:color w:val="auto"/>
          <w:sz w:val="32"/>
          <w:szCs w:val="32"/>
        </w:rPr>
      </w:pPr>
      <w:r>
        <w:rPr>
          <w:rFonts w:hint="eastAsia" w:ascii="仿宋" w:hAnsi="仿宋" w:eastAsia="仿宋"/>
          <w:color w:val="000000"/>
          <w:sz w:val="32"/>
          <w:szCs w:val="32"/>
        </w:rPr>
        <w:t xml:space="preserve">   </w:t>
      </w:r>
      <w:r>
        <w:rPr>
          <w:rFonts w:hint="eastAsia" w:ascii="仿宋" w:hAnsi="仿宋" w:eastAsia="仿宋"/>
          <w:color w:val="auto"/>
          <w:sz w:val="32"/>
          <w:szCs w:val="32"/>
        </w:rPr>
        <w:t xml:space="preserve"> 我单位2018年预算安排政府购买服务项目</w:t>
      </w:r>
      <w:r>
        <w:rPr>
          <w:rFonts w:hint="eastAsia" w:ascii="仿宋" w:hAnsi="仿宋" w:eastAsia="仿宋"/>
          <w:color w:val="auto"/>
          <w:sz w:val="32"/>
          <w:szCs w:val="32"/>
          <w:lang w:val="en-US" w:eastAsia="zh-CN"/>
        </w:rPr>
        <w:t>18</w:t>
      </w:r>
      <w:r>
        <w:rPr>
          <w:rFonts w:hint="eastAsia" w:ascii="仿宋" w:hAnsi="仿宋" w:eastAsia="仿宋"/>
          <w:color w:val="auto"/>
          <w:sz w:val="32"/>
          <w:szCs w:val="32"/>
        </w:rPr>
        <w:t>个，金额共计</w:t>
      </w:r>
      <w:r>
        <w:rPr>
          <w:rFonts w:hint="eastAsia" w:ascii="仿宋" w:hAnsi="仿宋" w:eastAsia="仿宋"/>
          <w:color w:val="auto"/>
          <w:sz w:val="32"/>
          <w:szCs w:val="32"/>
          <w:lang w:val="en-US" w:eastAsia="zh-CN"/>
        </w:rPr>
        <w:t>1442.35</w:t>
      </w:r>
      <w:r>
        <w:rPr>
          <w:rFonts w:hint="eastAsia" w:ascii="仿宋" w:hAnsi="仿宋" w:eastAsia="仿宋"/>
          <w:color w:val="auto"/>
          <w:sz w:val="32"/>
          <w:szCs w:val="32"/>
        </w:rPr>
        <w:t>万元。</w:t>
      </w:r>
    </w:p>
    <w:p w14:paraId="1BDE8003">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二、项目支出</w:t>
      </w:r>
      <w:r>
        <w:rPr>
          <w:rFonts w:ascii="仿宋" w:hAnsi="仿宋" w:eastAsia="仿宋"/>
          <w:color w:val="000000"/>
          <w:sz w:val="32"/>
          <w:szCs w:val="32"/>
        </w:rPr>
        <w:t>绩效目标情况说明</w:t>
      </w:r>
    </w:p>
    <w:p w14:paraId="691D05C3">
      <w:pPr>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本部门2018年预算项目</w:t>
      </w: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个，金额共计</w:t>
      </w:r>
      <w:r>
        <w:rPr>
          <w:rFonts w:hint="eastAsia" w:ascii="仿宋" w:hAnsi="仿宋" w:eastAsia="仿宋"/>
          <w:color w:val="000000"/>
          <w:sz w:val="32"/>
          <w:szCs w:val="32"/>
          <w:lang w:val="en-US" w:eastAsia="zh-CN"/>
        </w:rPr>
        <w:t>12495.80</w:t>
      </w:r>
      <w:r>
        <w:rPr>
          <w:rFonts w:hint="eastAsia" w:ascii="仿宋" w:hAnsi="仿宋" w:eastAsia="仿宋"/>
          <w:color w:val="000000"/>
          <w:sz w:val="32"/>
          <w:szCs w:val="32"/>
        </w:rPr>
        <w:t>万元,其中财政拨款预算项目</w:t>
      </w:r>
      <w:r>
        <w:rPr>
          <w:rFonts w:hint="eastAsia" w:ascii="仿宋" w:hAnsi="仿宋" w:eastAsia="仿宋"/>
          <w:color w:val="000000"/>
          <w:sz w:val="32"/>
          <w:szCs w:val="32"/>
          <w:lang w:val="en-US" w:eastAsia="zh-CN"/>
        </w:rPr>
        <w:t>38</w:t>
      </w:r>
      <w:r>
        <w:rPr>
          <w:rFonts w:hint="eastAsia" w:ascii="仿宋" w:hAnsi="仿宋" w:eastAsia="仿宋"/>
          <w:color w:val="000000"/>
          <w:sz w:val="32"/>
          <w:szCs w:val="32"/>
        </w:rPr>
        <w:t>个，金额共计</w:t>
      </w:r>
      <w:r>
        <w:rPr>
          <w:rFonts w:hint="eastAsia" w:ascii="仿宋" w:hAnsi="仿宋" w:eastAsia="仿宋"/>
          <w:color w:val="000000"/>
          <w:sz w:val="32"/>
          <w:szCs w:val="32"/>
          <w:lang w:val="en-US" w:eastAsia="zh-CN"/>
        </w:rPr>
        <w:t>12486.60</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100万元（含100万元）以上项目</w:t>
      </w:r>
      <w:r>
        <w:rPr>
          <w:rFonts w:hint="eastAsia" w:ascii="仿宋" w:hAnsi="仿宋" w:eastAsia="仿宋"/>
          <w:color w:val="000000"/>
          <w:sz w:val="32"/>
          <w:szCs w:val="32"/>
          <w:lang w:eastAsia="zh-CN"/>
        </w:rPr>
        <w:t>有</w:t>
      </w:r>
      <w:r>
        <w:rPr>
          <w:rFonts w:hint="eastAsia" w:ascii="仿宋" w:hAnsi="仿宋" w:eastAsia="仿宋"/>
          <w:color w:val="000000"/>
          <w:sz w:val="32"/>
          <w:szCs w:val="32"/>
          <w:lang w:val="en-US" w:eastAsia="zh-CN"/>
        </w:rPr>
        <w:t>15个，</w:t>
      </w:r>
      <w:r>
        <w:rPr>
          <w:rFonts w:hint="eastAsia" w:ascii="仿宋" w:hAnsi="仿宋" w:eastAsia="仿宋"/>
          <w:color w:val="000000"/>
          <w:sz w:val="32"/>
          <w:szCs w:val="32"/>
        </w:rPr>
        <w:t>均按要求填报了《项目支出绩效目标申报表》。</w:t>
      </w:r>
      <w:r>
        <w:rPr>
          <w:rFonts w:hint="eastAsia" w:ascii="仿宋" w:hAnsi="仿宋" w:eastAsia="仿宋"/>
          <w:color w:val="000000"/>
          <w:sz w:val="32"/>
          <w:szCs w:val="32"/>
          <w:lang w:eastAsia="zh-CN"/>
        </w:rPr>
        <w:t>以下是对</w:t>
      </w:r>
      <w:r>
        <w:rPr>
          <w:rFonts w:hint="eastAsia" w:ascii="仿宋" w:hAnsi="仿宋" w:eastAsia="仿宋"/>
          <w:color w:val="000000"/>
          <w:sz w:val="32"/>
          <w:szCs w:val="32"/>
          <w:lang w:val="en-US" w:eastAsia="zh-CN"/>
        </w:rPr>
        <w:t>15个项目</w:t>
      </w:r>
      <w:r>
        <w:rPr>
          <w:rFonts w:hint="eastAsia" w:ascii="仿宋" w:hAnsi="仿宋" w:eastAsia="仿宋"/>
          <w:sz w:val="32"/>
          <w:szCs w:val="32"/>
        </w:rPr>
        <w:t>绩效目标</w:t>
      </w:r>
      <w:r>
        <w:rPr>
          <w:rFonts w:hint="eastAsia" w:ascii="仿宋" w:hAnsi="仿宋" w:eastAsia="仿宋"/>
          <w:sz w:val="32"/>
          <w:szCs w:val="32"/>
          <w:lang w:eastAsia="zh-CN"/>
        </w:rPr>
        <w:t>情况进行的简要说明。</w:t>
      </w:r>
    </w:p>
    <w:p w14:paraId="3B8092F7">
      <w:pPr>
        <w:adjustRightInd/>
        <w:snapToGrid/>
        <w:spacing w:after="0"/>
        <w:jc w:val="left"/>
        <w:rPr>
          <w:rFonts w:hint="eastAsia" w:ascii="仿宋" w:hAnsi="仿宋" w:eastAsia="仿宋" w:cs="仿宋"/>
          <w:bCs/>
          <w:sz w:val="32"/>
          <w:szCs w:val="32"/>
          <w:lang w:val="en-US" w:eastAsia="zh-CN"/>
        </w:rPr>
      </w:pPr>
      <w:r>
        <w:rPr>
          <w:rFonts w:hint="eastAsia" w:ascii="仿宋" w:hAnsi="仿宋" w:eastAsia="仿宋"/>
          <w:color w:val="000000"/>
          <w:sz w:val="32"/>
          <w:szCs w:val="32"/>
          <w:lang w:val="en-US" w:eastAsia="zh-CN"/>
        </w:rPr>
        <w:t xml:space="preserve">   1.</w:t>
      </w:r>
      <w:r>
        <w:rPr>
          <w:rFonts w:hint="eastAsia" w:ascii="仿宋" w:hAnsi="仿宋" w:eastAsia="仿宋"/>
          <w:color w:val="000000"/>
          <w:sz w:val="32"/>
          <w:szCs w:val="32"/>
          <w:lang w:eastAsia="zh-CN"/>
        </w:rPr>
        <w:t>“</w:t>
      </w:r>
      <w:r>
        <w:rPr>
          <w:rFonts w:hint="eastAsia" w:ascii="仿宋" w:hAnsi="仿宋" w:eastAsia="仿宋"/>
          <w:color w:val="000000"/>
          <w:sz w:val="32"/>
          <w:szCs w:val="32"/>
        </w:rPr>
        <w:t>基层文化补贴</w:t>
      </w:r>
      <w:r>
        <w:rPr>
          <w:rFonts w:hint="eastAsia" w:ascii="仿宋" w:hAnsi="仿宋" w:eastAsia="仿宋"/>
          <w:color w:val="000000"/>
          <w:sz w:val="32"/>
          <w:szCs w:val="32"/>
          <w:lang w:eastAsia="zh-CN"/>
        </w:rPr>
        <w:t>”</w:t>
      </w:r>
      <w:r>
        <w:rPr>
          <w:rFonts w:hint="eastAsia" w:ascii="仿宋" w:hAnsi="仿宋" w:eastAsia="仿宋"/>
          <w:sz w:val="32"/>
          <w:szCs w:val="32"/>
        </w:rPr>
        <w:t>项目绩效目标</w:t>
      </w:r>
      <w:r>
        <w:rPr>
          <w:rFonts w:hint="eastAsia" w:ascii="仿宋" w:hAnsi="仿宋" w:eastAsia="仿宋"/>
          <w:sz w:val="32"/>
          <w:szCs w:val="32"/>
          <w:lang w:eastAsia="zh-CN"/>
        </w:rPr>
        <w:t>情况简要说明：</w:t>
      </w:r>
      <w:r>
        <w:rPr>
          <w:rFonts w:hint="eastAsia" w:ascii="仿宋" w:hAnsi="仿宋" w:eastAsia="仿宋" w:cs="仿宋"/>
          <w:bCs/>
          <w:sz w:val="32"/>
          <w:szCs w:val="32"/>
          <w:lang w:val="en-US" w:eastAsia="zh-CN"/>
        </w:rPr>
        <w:t>通过特色品牌的培育和打造，充分挖掘镇域特色资源，精心打造群众文化品牌，开展镇域文化艺术精品创作，拉动相关产业发展，推进农村文化繁荣，丰富群众文化生活，满足人民群众日益增长的文化需求，提高社会公众的文化素养、丰富其精神生活，提高社会公众的文化素养。</w:t>
      </w:r>
    </w:p>
    <w:p w14:paraId="0AEE86FB">
      <w:pPr>
        <w:adjustRightInd/>
        <w:snapToGrid/>
        <w:spacing w:after="0"/>
        <w:ind w:firstLine="42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2.“文艺演出星火工程”</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sz w:val="32"/>
          <w:szCs w:val="32"/>
          <w:lang w:val="en-US" w:eastAsia="zh-CN"/>
        </w:rPr>
        <w:t>:</w:t>
      </w:r>
      <w:r>
        <w:rPr>
          <w:rFonts w:hint="eastAsia" w:ascii="仿宋" w:hAnsi="仿宋" w:eastAsia="仿宋" w:cs="仿宋"/>
          <w:bCs/>
          <w:sz w:val="32"/>
          <w:szCs w:val="32"/>
        </w:rPr>
        <w:t>通过开展欢乐祥和、形式多样、丰富多彩的演出活动，进一步完善公益性演出体系，丰富群众文化生活，满足人民群众日益增长的文化需求，提高社会公众的文化素养、更好地为群众提供公共文化服务，满足群众多方面、多层次、多样化的文化需求。</w:t>
      </w:r>
    </w:p>
    <w:p w14:paraId="481D139F">
      <w:pPr>
        <w:adjustRightInd/>
        <w:snapToGrid/>
        <w:spacing w:after="0"/>
        <w:ind w:firstLine="42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default" w:ascii="仿宋" w:hAnsi="仿宋" w:eastAsia="仿宋" w:cs="仿宋"/>
          <w:bCs/>
          <w:sz w:val="32"/>
          <w:szCs w:val="32"/>
          <w:lang w:val="en-US" w:eastAsia="zh-CN"/>
        </w:rPr>
        <w:t>“</w:t>
      </w:r>
      <w:r>
        <w:rPr>
          <w:rFonts w:hint="eastAsia" w:ascii="仿宋" w:hAnsi="仿宋" w:eastAsia="仿宋" w:cs="仿宋"/>
          <w:bCs/>
          <w:sz w:val="32"/>
          <w:szCs w:val="32"/>
          <w:lang w:val="en-US" w:eastAsia="zh-CN"/>
        </w:rPr>
        <w:t>文化设施设备更新运费费”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sz w:val="32"/>
          <w:szCs w:val="32"/>
          <w:lang w:val="en-US" w:eastAsia="zh-CN"/>
        </w:rPr>
        <w:t>:</w:t>
      </w:r>
      <w:r>
        <w:rPr>
          <w:rFonts w:hint="eastAsia" w:ascii="仿宋" w:hAnsi="仿宋" w:eastAsia="仿宋" w:cs="仿宋"/>
          <w:bCs/>
          <w:sz w:val="32"/>
          <w:szCs w:val="32"/>
          <w:lang w:val="en-US" w:eastAsia="zh-CN"/>
        </w:rPr>
        <w:t>对镇乡、街道、村（社区)及文化委系统公益性文化单位的文化设施设备进行更新、维护。保障文化活动场所的正常运营和免费开放，以及公益演出团队稳定有序的排练、创编和正常演出，提升文化服务水平，不断满足提高群众精神文化需求。</w:t>
      </w:r>
    </w:p>
    <w:p w14:paraId="608334DF">
      <w:pPr>
        <w:adjustRightInd/>
        <w:snapToGrid/>
        <w:spacing w:after="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4.“大型特色文化活动”</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bCs/>
          <w:sz w:val="32"/>
          <w:szCs w:val="32"/>
        </w:rPr>
        <w:t>加快农村文化事业的发展，逐步建立和完善公共文化服务体系，提高公共文化服务水平</w:t>
      </w:r>
      <w:r>
        <w:rPr>
          <w:rFonts w:hint="eastAsia" w:ascii="仿宋" w:hAnsi="仿宋" w:eastAsia="仿宋" w:cs="仿宋"/>
          <w:bCs/>
          <w:sz w:val="32"/>
          <w:szCs w:val="32"/>
          <w:lang w:eastAsia="zh-CN"/>
        </w:rPr>
        <w:t>；</w:t>
      </w:r>
      <w:r>
        <w:rPr>
          <w:rFonts w:hint="eastAsia" w:ascii="仿宋" w:hAnsi="仿宋" w:eastAsia="仿宋" w:cs="仿宋"/>
          <w:bCs/>
          <w:sz w:val="32"/>
          <w:szCs w:val="32"/>
        </w:rPr>
        <w:t>丰富群众文化生活，满足人民群众日益增长的文化需求，提高社会公众的文化素养;有效遏制“黄、赌、毒”等社会丑恶现象在农村的泛滥，提高群众的思想道德素</w:t>
      </w:r>
      <w:r>
        <w:rPr>
          <w:rFonts w:hint="eastAsia" w:ascii="仿宋" w:hAnsi="仿宋" w:eastAsia="仿宋" w:cs="仿宋"/>
          <w:bCs/>
          <w:sz w:val="32"/>
          <w:szCs w:val="32"/>
          <w:lang w:eastAsia="zh-CN"/>
        </w:rPr>
        <w:t>；</w:t>
      </w:r>
      <w:r>
        <w:rPr>
          <w:rFonts w:hint="eastAsia" w:ascii="仿宋" w:hAnsi="仿宋" w:eastAsia="仿宋" w:cs="仿宋"/>
          <w:bCs/>
          <w:sz w:val="32"/>
          <w:szCs w:val="32"/>
        </w:rPr>
        <w:t>加强农村的精神文明建设，构筑和谐社会，实现文化的大发展大繁荣。</w:t>
      </w:r>
    </w:p>
    <w:p w14:paraId="700E2645">
      <w:pPr>
        <w:adjustRightInd/>
        <w:snapToGrid/>
        <w:spacing w:after="0"/>
        <w:ind w:firstLine="42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 “提前下达2018年文化领域市对区一般转移支付资金”</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情况简要说明：为深入学习贯彻习近平新时代中国特色社会主义思想和党的十九大精神</w:t>
      </w:r>
      <w:bookmarkStart w:id="0" w:name="_GoBack"/>
      <w:bookmarkEnd w:id="0"/>
      <w:r>
        <w:rPr>
          <w:rFonts w:hint="eastAsia" w:ascii="仿宋" w:hAnsi="仿宋" w:eastAsia="仿宋" w:cs="仿宋"/>
          <w:sz w:val="32"/>
          <w:szCs w:val="32"/>
          <w:lang w:eastAsia="zh-CN"/>
        </w:rPr>
        <w:t>，落实北京市推进全国文化中心建设领导小组第一次会议精神，加快推进公共文化服务体系示范区建设，按照怀柔区推进全国文化中心建设领导小组办公室工作部署，根据市级资金使用办法，深化文化改革，增强文化活力；聚力书香怀柔、律动怀柔、影美怀柔、乡韵怀柔等，推进镇乡（街道）综合文化中心建设等。</w:t>
      </w:r>
    </w:p>
    <w:p w14:paraId="47BBD590">
      <w:pPr>
        <w:spacing w:line="56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lang w:eastAsia="zh-CN"/>
        </w:rPr>
        <w:t>“提前下达2018年文化领域市对区一般转移支付--三馆免费开放”</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根据市级资金要求，每个镇乡街道20万元的标准，我区14个镇乡2个街道，合计320万元。该专项资金主要用于乡镇街道文化站免费开放后正常运转并开展群众文化活动、培训基层文化队伍等基本公共文化服务支出。</w:t>
      </w:r>
    </w:p>
    <w:p w14:paraId="2B06AF69">
      <w:pPr>
        <w:spacing w:line="560" w:lineRule="exact"/>
        <w:ind w:firstLine="640"/>
        <w:rPr>
          <w:rFonts w:hint="eastAsia" w:ascii="仿宋" w:hAnsi="仿宋" w:eastAsia="仿宋"/>
          <w:color w:val="auto"/>
          <w:sz w:val="32"/>
          <w:szCs w:val="32"/>
        </w:rPr>
      </w:pPr>
      <w:r>
        <w:rPr>
          <w:rFonts w:hint="eastAsia" w:ascii="仿宋" w:hAnsi="仿宋" w:eastAsia="仿宋"/>
          <w:color w:val="auto"/>
          <w:sz w:val="32"/>
          <w:szCs w:val="32"/>
          <w:lang w:val="en-US" w:eastAsia="zh-CN"/>
        </w:rPr>
        <w:t>7.</w:t>
      </w:r>
      <w:r>
        <w:rPr>
          <w:rFonts w:hint="eastAsia" w:ascii="仿宋" w:hAnsi="仿宋" w:eastAsia="仿宋"/>
          <w:color w:val="auto"/>
          <w:sz w:val="32"/>
          <w:szCs w:val="32"/>
          <w:lang w:eastAsia="zh-CN"/>
        </w:rPr>
        <w:t>“博物馆场馆租赁费”</w:t>
      </w:r>
      <w:r>
        <w:rPr>
          <w:rFonts w:hint="eastAsia" w:ascii="仿宋" w:hAnsi="仿宋" w:eastAsia="仿宋" w:cs="仿宋"/>
          <w:color w:val="auto"/>
          <w:sz w:val="32"/>
          <w:szCs w:val="32"/>
        </w:rPr>
        <w:t>项目绩效目标</w:t>
      </w:r>
      <w:r>
        <w:rPr>
          <w:rFonts w:hint="eastAsia" w:ascii="仿宋" w:hAnsi="仿宋" w:eastAsia="仿宋" w:cs="仿宋"/>
          <w:color w:val="auto"/>
          <w:sz w:val="32"/>
          <w:szCs w:val="32"/>
          <w:lang w:eastAsia="zh-CN"/>
        </w:rPr>
        <w:t>情况简要说明：位于怀柔区府前街9号院12号楼，面积1938.72㎡，租金为 2 元/㎡/天，年租金141.5265万元。</w:t>
      </w:r>
    </w:p>
    <w:p w14:paraId="04E59B1A">
      <w:pPr>
        <w:spacing w:line="560" w:lineRule="exact"/>
        <w:ind w:firstLine="645"/>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图书馆运行费”项目绩效目标：保证图书馆的设备、设施、网络、水电、网站等正常运转，为读者提供优质、舒适、整洁、安全的环境，创造良好的服务条件，从而吸引更多的市民走进图书馆，营造全民阅读和创建学习型社会的良好氛围。</w:t>
      </w:r>
    </w:p>
    <w:p w14:paraId="4EA83E20">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“图书购书经费”</w:t>
      </w:r>
      <w:r>
        <w:rPr>
          <w:rFonts w:hint="eastAsia" w:ascii="仿宋" w:hAnsi="仿宋" w:eastAsia="仿宋"/>
          <w:sz w:val="32"/>
          <w:szCs w:val="32"/>
        </w:rPr>
        <w:t>项目绩效目标：丰富书刊的种类和数量，满足借阅需求；丰富人民群众文化生活；提高基层图书管理员的业务水平。</w:t>
      </w:r>
    </w:p>
    <w:p w14:paraId="54B105AF">
      <w:pPr>
        <w:spacing w:line="560" w:lineRule="exact"/>
        <w:ind w:firstLine="645"/>
        <w:rPr>
          <w:rFonts w:hint="eastAsia" w:ascii="仿宋" w:hAnsi="仿宋" w:eastAsia="仿宋"/>
          <w:color w:val="000000"/>
          <w:sz w:val="32"/>
          <w:szCs w:val="32"/>
        </w:rPr>
      </w:pP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“聘用人员经费”</w:t>
      </w:r>
      <w:r>
        <w:rPr>
          <w:rFonts w:hint="eastAsia" w:ascii="仿宋" w:hAnsi="仿宋" w:eastAsia="仿宋"/>
          <w:sz w:val="32"/>
          <w:szCs w:val="32"/>
        </w:rPr>
        <w:t>项目绩效目标：采用政府购买服务的形式聘用人员，补充我馆编制核减后的人员不足，主要从事书刊外借、信息宣传、后勤保障、志愿者服务等工作，更好的服务读者。</w:t>
      </w:r>
    </w:p>
    <w:p w14:paraId="36DA4C37">
      <w:pPr>
        <w:spacing w:line="560" w:lineRule="exact"/>
        <w:ind w:firstLine="640"/>
        <w:rPr>
          <w:rFonts w:hint="eastAsia" w:ascii="仿宋" w:hAnsi="仿宋" w:eastAsia="仿宋"/>
          <w:sz w:val="32"/>
          <w:szCs w:val="32"/>
        </w:rPr>
      </w:pP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“提前下达2018年文化领域市对区一般转移支付资金--怀柔区图书馆通风空调改造工程”</w:t>
      </w:r>
      <w:r>
        <w:rPr>
          <w:rFonts w:hint="eastAsia" w:ascii="仿宋" w:hAnsi="仿宋" w:eastAsia="仿宋"/>
          <w:sz w:val="32"/>
          <w:szCs w:val="32"/>
        </w:rPr>
        <w:t xml:space="preserve"> 项目绩效目标：给读者提供一个凉爽舒适的阅读环境，降低维修和维护成本，保证空调正常运行。</w:t>
      </w:r>
    </w:p>
    <w:p w14:paraId="1A02128E">
      <w:pPr>
        <w:spacing w:line="56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12.</w:t>
      </w:r>
      <w:r>
        <w:rPr>
          <w:rFonts w:hint="eastAsia" w:ascii="仿宋" w:hAnsi="仿宋" w:eastAsia="仿宋"/>
          <w:color w:val="000000"/>
          <w:sz w:val="32"/>
          <w:szCs w:val="32"/>
          <w:lang w:eastAsia="zh-CN"/>
        </w:rPr>
        <w:t>“提前下达2018年文物及历史文化保护补助资金-前茶坞老爷庙抢险修缮工程（二期）”</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前茶坞老爷庙位于北京市怀柔区桥梓镇前茶坞村。项目占地面积为818平方米，修缮建筑面积为179.22平方米。本工程修缮范围包括：山门、正殿东西耳房、东配殿、西配殿、院墙等。达到目标：在保障建筑安全前提下，尽一切可能保存现有历史遗构。确定每一单体建筑的具体修复措施。以文物保护为第一前提，同时充分的考虑展示效果，社会功能物质方面的需求，以求实现文物的社会价值。</w:t>
      </w:r>
    </w:p>
    <w:p w14:paraId="18968F4A">
      <w:pPr>
        <w:spacing w:line="56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13.</w:t>
      </w:r>
      <w:r>
        <w:rPr>
          <w:rFonts w:hint="eastAsia" w:ascii="仿宋" w:hAnsi="仿宋" w:eastAsia="仿宋"/>
          <w:color w:val="000000"/>
          <w:sz w:val="32"/>
          <w:szCs w:val="32"/>
          <w:lang w:eastAsia="zh-CN"/>
        </w:rPr>
        <w:t>“提前下达2018年文物及历史文化保护补助资金-九渡河镇白云川道观抢险修缮工程”</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白云川道观始建于明代早期，坐北朝南，占地面积约750平方米。此次修缮范围包括：山门、正殿、正殿东、西耳房、东配殿、西配殿、院墙、月台、甬路及墓葬群等。达到目标：在保障建筑安全前提下，尽一切可能保存现有历史遗构。确定每一单体建筑的具体修复措施。以文物保护为第一前提，同时充分的考虑展示效果，社会功能物质方面的需求，以求实现文物的社会价值。</w:t>
      </w:r>
    </w:p>
    <w:p w14:paraId="3A21EBE4">
      <w:pPr>
        <w:spacing w:line="560" w:lineRule="exact"/>
        <w:ind w:firstLine="640"/>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14.</w:t>
      </w:r>
      <w:r>
        <w:rPr>
          <w:rFonts w:hint="eastAsia" w:ascii="仿宋" w:hAnsi="仿宋" w:eastAsia="仿宋"/>
          <w:color w:val="000000"/>
          <w:sz w:val="32"/>
          <w:szCs w:val="32"/>
          <w:lang w:eastAsia="zh-CN"/>
        </w:rPr>
        <w:t>“提前下达2018年文物及历史文化保护补助资金-待分配资金”</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预计进行怀柔区朝阳洞环境整治工程，考古勘探，石碑石刻搬运，安技防等项目。达到目标：在保障建筑安全前提下，尽一切可能保存现有历史遗构。确定每一单体建筑的具体修复措施。以文物保护为第一前提，同时充分的考虑展示效果，社会功能物质方面的需求，以求实现文物的社会价值。</w:t>
      </w:r>
    </w:p>
    <w:p w14:paraId="32E378C0">
      <w:pPr>
        <w:spacing w:line="560" w:lineRule="exact"/>
        <w:ind w:firstLine="640"/>
        <w:rPr>
          <w:rFonts w:hint="eastAsia" w:ascii="仿宋" w:hAnsi="仿宋" w:eastAsia="仿宋"/>
          <w:sz w:val="32"/>
          <w:szCs w:val="32"/>
        </w:rPr>
      </w:pPr>
      <w:r>
        <w:rPr>
          <w:rFonts w:hint="eastAsia" w:ascii="仿宋" w:hAnsi="仿宋" w:eastAsia="仿宋"/>
          <w:color w:val="000000"/>
          <w:sz w:val="32"/>
          <w:szCs w:val="32"/>
          <w:lang w:val="en-US" w:eastAsia="zh-CN"/>
        </w:rPr>
        <w:t>15.</w:t>
      </w:r>
      <w:r>
        <w:rPr>
          <w:rFonts w:hint="eastAsia" w:ascii="仿宋" w:hAnsi="仿宋" w:eastAsia="仿宋"/>
          <w:color w:val="000000"/>
          <w:sz w:val="32"/>
          <w:szCs w:val="32"/>
          <w:lang w:eastAsia="zh-CN"/>
        </w:rPr>
        <w:t>“提前下达2018年文化领域市对区一般转移支付--电影放映补贴”</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bCs/>
          <w:sz w:val="32"/>
          <w:szCs w:val="32"/>
        </w:rPr>
        <w:t xml:space="preserve"> 宣传党的政策，寓教于乐，坚持先进文化方向</w:t>
      </w:r>
      <w:r>
        <w:rPr>
          <w:rFonts w:hint="eastAsia" w:ascii="仿宋" w:hAnsi="仿宋" w:eastAsia="仿宋" w:cs="仿宋"/>
          <w:bCs/>
          <w:sz w:val="32"/>
          <w:szCs w:val="32"/>
          <w:lang w:eastAsia="zh-CN"/>
        </w:rPr>
        <w:t>，</w:t>
      </w:r>
      <w:r>
        <w:rPr>
          <w:rFonts w:hint="eastAsia" w:ascii="仿宋" w:hAnsi="仿宋" w:eastAsia="仿宋" w:cs="仿宋"/>
          <w:bCs/>
          <w:sz w:val="32"/>
          <w:szCs w:val="32"/>
        </w:rPr>
        <w:t>组织开展主题放映活动，完成全年放映任务</w:t>
      </w:r>
      <w:r>
        <w:rPr>
          <w:rFonts w:hint="eastAsia" w:ascii="仿宋" w:hAnsi="仿宋" w:eastAsia="仿宋" w:cs="仿宋"/>
          <w:bCs/>
          <w:sz w:val="32"/>
          <w:szCs w:val="32"/>
          <w:lang w:eastAsia="zh-CN"/>
        </w:rPr>
        <w:t>。</w:t>
      </w:r>
    </w:p>
    <w:p w14:paraId="0058156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三、重点行政事业性收费情况说明</w:t>
      </w:r>
    </w:p>
    <w:p w14:paraId="747496DC">
      <w:pPr>
        <w:spacing w:line="560" w:lineRule="exact"/>
        <w:ind w:firstLine="640" w:firstLineChars="200"/>
        <w:rPr>
          <w:rFonts w:ascii="仿宋" w:hAnsi="仿宋" w:eastAsia="仿宋"/>
          <w:sz w:val="32"/>
          <w:szCs w:val="32"/>
        </w:rPr>
      </w:pPr>
      <w:r>
        <w:rPr>
          <w:rFonts w:hint="eastAsia" w:ascii="仿宋" w:hAnsi="仿宋" w:eastAsia="仿宋"/>
          <w:sz w:val="32"/>
          <w:szCs w:val="32"/>
        </w:rPr>
        <w:t>本部门无行政事业性收费工作。</w:t>
      </w:r>
    </w:p>
    <w:p w14:paraId="7851D64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14:paraId="7924316C">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本部门不涉及国有资本经营预算财政拨款情况。</w:t>
      </w:r>
    </w:p>
    <w:p w14:paraId="01E01077">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资产占用情况说明</w:t>
      </w:r>
    </w:p>
    <w:p w14:paraId="43C180CA">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2017年</w:t>
      </w:r>
      <w:r>
        <w:rPr>
          <w:rFonts w:ascii="仿宋" w:hAnsi="仿宋" w:eastAsia="仿宋"/>
          <w:color w:val="000000"/>
          <w:sz w:val="32"/>
          <w:szCs w:val="32"/>
        </w:rPr>
        <w:t>底，</w:t>
      </w:r>
      <w:r>
        <w:rPr>
          <w:rFonts w:hint="eastAsia" w:ascii="仿宋" w:hAnsi="仿宋" w:eastAsia="仿宋"/>
          <w:color w:val="000000"/>
          <w:sz w:val="32"/>
          <w:szCs w:val="32"/>
        </w:rPr>
        <w:t>本部门</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12317.18</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19</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406.55</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台（套）</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65.18</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台（套）</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398.96</w:t>
      </w:r>
      <w:r>
        <w:rPr>
          <w:rFonts w:hint="eastAsia" w:ascii="仿宋" w:hAnsi="仿宋" w:eastAsia="仿宋"/>
          <w:color w:val="000000"/>
          <w:sz w:val="32"/>
          <w:szCs w:val="32"/>
        </w:rPr>
        <w:t>万元。</w:t>
      </w:r>
    </w:p>
    <w:p w14:paraId="1FD5161B">
      <w:pPr>
        <w:autoSpaceDE w:val="0"/>
        <w:autoSpaceDN w:val="0"/>
        <w:adjustRightInd w:val="0"/>
        <w:spacing w:line="560" w:lineRule="exact"/>
        <w:ind w:firstLine="660"/>
        <w:jc w:val="left"/>
        <w:rPr>
          <w:rFonts w:ascii="仿宋" w:hAnsi="仿宋" w:eastAsia="仿宋" w:cs="宋体"/>
          <w:color w:val="000000"/>
          <w:kern w:val="0"/>
          <w:sz w:val="32"/>
          <w:szCs w:val="32"/>
          <w:lang w:val="zh-CN"/>
        </w:rPr>
      </w:pPr>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0CF2467"/>
    <w:rsid w:val="00301603"/>
    <w:rsid w:val="00381113"/>
    <w:rsid w:val="005D3C35"/>
    <w:rsid w:val="00636675"/>
    <w:rsid w:val="0087740C"/>
    <w:rsid w:val="00A0450B"/>
    <w:rsid w:val="00A90FFC"/>
    <w:rsid w:val="00B46D8E"/>
    <w:rsid w:val="00B95098"/>
    <w:rsid w:val="00C5185C"/>
    <w:rsid w:val="00CF2467"/>
    <w:rsid w:val="00D1252A"/>
    <w:rsid w:val="00D3568C"/>
    <w:rsid w:val="00D647EB"/>
    <w:rsid w:val="00EC2040"/>
    <w:rsid w:val="01723F50"/>
    <w:rsid w:val="0223410C"/>
    <w:rsid w:val="04A115AE"/>
    <w:rsid w:val="04D338B6"/>
    <w:rsid w:val="04FC1599"/>
    <w:rsid w:val="07F226F9"/>
    <w:rsid w:val="0A321FFB"/>
    <w:rsid w:val="0BDE752A"/>
    <w:rsid w:val="0C643A26"/>
    <w:rsid w:val="0FEF5003"/>
    <w:rsid w:val="11235740"/>
    <w:rsid w:val="11813A09"/>
    <w:rsid w:val="11F81478"/>
    <w:rsid w:val="12C80040"/>
    <w:rsid w:val="146E33EA"/>
    <w:rsid w:val="15C775ED"/>
    <w:rsid w:val="17C352B0"/>
    <w:rsid w:val="185D1CD8"/>
    <w:rsid w:val="19B12DA7"/>
    <w:rsid w:val="1A1E3169"/>
    <w:rsid w:val="1C090793"/>
    <w:rsid w:val="1DEA40E1"/>
    <w:rsid w:val="1DF03BAD"/>
    <w:rsid w:val="1E133A76"/>
    <w:rsid w:val="20571141"/>
    <w:rsid w:val="208C2065"/>
    <w:rsid w:val="21E6147A"/>
    <w:rsid w:val="23E435F4"/>
    <w:rsid w:val="251F7B6E"/>
    <w:rsid w:val="25915DBB"/>
    <w:rsid w:val="267B1D08"/>
    <w:rsid w:val="27566C4B"/>
    <w:rsid w:val="279531C4"/>
    <w:rsid w:val="28664B7E"/>
    <w:rsid w:val="293205D4"/>
    <w:rsid w:val="2A2F3194"/>
    <w:rsid w:val="2C397C76"/>
    <w:rsid w:val="2D067CE6"/>
    <w:rsid w:val="2D136692"/>
    <w:rsid w:val="2D660E19"/>
    <w:rsid w:val="2E492217"/>
    <w:rsid w:val="2E623B76"/>
    <w:rsid w:val="2ED45F07"/>
    <w:rsid w:val="2F8D38F3"/>
    <w:rsid w:val="2FBD203C"/>
    <w:rsid w:val="30454A22"/>
    <w:rsid w:val="306670A7"/>
    <w:rsid w:val="31734674"/>
    <w:rsid w:val="325A6F31"/>
    <w:rsid w:val="33522D3E"/>
    <w:rsid w:val="33B64F63"/>
    <w:rsid w:val="341C3F11"/>
    <w:rsid w:val="34393807"/>
    <w:rsid w:val="3464694A"/>
    <w:rsid w:val="358644E4"/>
    <w:rsid w:val="35D505F1"/>
    <w:rsid w:val="386229CC"/>
    <w:rsid w:val="39256956"/>
    <w:rsid w:val="39E02AF5"/>
    <w:rsid w:val="3BC83B1D"/>
    <w:rsid w:val="3CA12328"/>
    <w:rsid w:val="3D236A31"/>
    <w:rsid w:val="3E05424D"/>
    <w:rsid w:val="3E283E7F"/>
    <w:rsid w:val="3F511B89"/>
    <w:rsid w:val="3F614E6E"/>
    <w:rsid w:val="40694E6A"/>
    <w:rsid w:val="41437F28"/>
    <w:rsid w:val="42196D87"/>
    <w:rsid w:val="437168CE"/>
    <w:rsid w:val="43DE6A00"/>
    <w:rsid w:val="44B2615E"/>
    <w:rsid w:val="45A64C23"/>
    <w:rsid w:val="45CE145D"/>
    <w:rsid w:val="4AD8535A"/>
    <w:rsid w:val="4B1A4420"/>
    <w:rsid w:val="4B2B4A53"/>
    <w:rsid w:val="4C1563E4"/>
    <w:rsid w:val="4E573860"/>
    <w:rsid w:val="4F5F41B8"/>
    <w:rsid w:val="505F6968"/>
    <w:rsid w:val="522C61F6"/>
    <w:rsid w:val="52704E6D"/>
    <w:rsid w:val="528022C0"/>
    <w:rsid w:val="529C6F26"/>
    <w:rsid w:val="535933F3"/>
    <w:rsid w:val="54F108C5"/>
    <w:rsid w:val="55545684"/>
    <w:rsid w:val="55DE36EB"/>
    <w:rsid w:val="57406BA9"/>
    <w:rsid w:val="574D50F2"/>
    <w:rsid w:val="583E54B9"/>
    <w:rsid w:val="5A781BDA"/>
    <w:rsid w:val="5AA35FEE"/>
    <w:rsid w:val="5BDE68A3"/>
    <w:rsid w:val="5C707FD3"/>
    <w:rsid w:val="5CB955D7"/>
    <w:rsid w:val="5F253060"/>
    <w:rsid w:val="60847D7C"/>
    <w:rsid w:val="61FA0F03"/>
    <w:rsid w:val="625A394B"/>
    <w:rsid w:val="62830397"/>
    <w:rsid w:val="6338420C"/>
    <w:rsid w:val="63B83141"/>
    <w:rsid w:val="63E12AE7"/>
    <w:rsid w:val="64EF30D3"/>
    <w:rsid w:val="653D4B9F"/>
    <w:rsid w:val="65A431A4"/>
    <w:rsid w:val="65BD6B75"/>
    <w:rsid w:val="66151754"/>
    <w:rsid w:val="665053CF"/>
    <w:rsid w:val="6AAA5328"/>
    <w:rsid w:val="6B625E40"/>
    <w:rsid w:val="6BC64EDB"/>
    <w:rsid w:val="6C1C6F6F"/>
    <w:rsid w:val="6D0164A4"/>
    <w:rsid w:val="6D6A0DE6"/>
    <w:rsid w:val="6E0D7446"/>
    <w:rsid w:val="6E682B79"/>
    <w:rsid w:val="6E6A1FD3"/>
    <w:rsid w:val="6F281AE3"/>
    <w:rsid w:val="6F4027FD"/>
    <w:rsid w:val="701C44F3"/>
    <w:rsid w:val="701E4AD9"/>
    <w:rsid w:val="73331474"/>
    <w:rsid w:val="73DC1EB9"/>
    <w:rsid w:val="742D65A4"/>
    <w:rsid w:val="7996599F"/>
    <w:rsid w:val="7C1C12A8"/>
    <w:rsid w:val="7C360A42"/>
    <w:rsid w:val="7C585E02"/>
    <w:rsid w:val="7C631D29"/>
    <w:rsid w:val="7D657163"/>
    <w:rsid w:val="7E24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2329</Words>
  <Characters>2467</Characters>
  <Lines>3</Lines>
  <Paragraphs>1</Paragraphs>
  <TotalTime>0</TotalTime>
  <ScaleCrop>false</ScaleCrop>
  <LinksUpToDate>false</LinksUpToDate>
  <CharactersWithSpaces>2481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2019-01-29T03:07:00Z</dcterms:created>
  <dc:creator>郑怀志</dc:creator>
  <cp:lastModifiedBy> 祺</cp:lastModifiedBy>
  <cp:lastPrinted>2019-01-29T03:25:00Z</cp:lastPrinted>
  <dcterms:modified xsi:type="dcterms:W3CDTF">2024-08-09T09:20:30Z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991E2BFA77DD4F90972409724C886460_13</vt:lpwstr>
  </property>
</Properties>
</file>