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ind w:firstLine="640"/>
        <w:rPr>
          <w:rFonts w:hint="eastAsia" w:ascii="仿宋" w:hAnsi="仿宋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7388.85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7388.85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7个，总金额7185.62万元，</w:t>
      </w:r>
      <w:r>
        <w:rPr>
          <w:rFonts w:hint="eastAsia" w:ascii="仿宋" w:hAnsi="仿宋" w:eastAsia="仿宋"/>
          <w:color w:val="000000"/>
          <w:sz w:val="32"/>
          <w:szCs w:val="32"/>
        </w:rPr>
        <w:t>均按要求填报了《项目支出绩效目标申报表》。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189.14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33.69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EF80CFA"/>
    <w:rsid w:val="26435C5E"/>
    <w:rsid w:val="307B247E"/>
    <w:rsid w:val="36916DF6"/>
    <w:rsid w:val="386A5467"/>
    <w:rsid w:val="4147458B"/>
    <w:rsid w:val="466A2380"/>
    <w:rsid w:val="4DE11A22"/>
    <w:rsid w:val="553C709C"/>
    <w:rsid w:val="66D41F07"/>
    <w:rsid w:val="739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2019-01-31T05:40:41Z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