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i w:val="0"/>
          <w:iCs/>
          <w:color w:val="auto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9091.49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8781.29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</w:rPr>
        <w:t>纳入2019年部门预算财政拨款、政府性基金安排项目金额大于等于100万元的</w:t>
      </w:r>
      <w:r>
        <w:rPr>
          <w:rFonts w:hint="eastAsia" w:ascii="仿宋" w:hAnsi="仿宋" w:eastAsia="仿宋"/>
          <w:b w:val="0"/>
          <w:bCs w:val="0"/>
          <w:i w:val="0"/>
          <w:iCs/>
          <w:color w:val="auto"/>
          <w:sz w:val="32"/>
          <w:szCs w:val="32"/>
        </w:rPr>
        <w:t>实施绩效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</w:rPr>
        <w:t>目标项目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lang w:val="en-US" w:eastAsia="zh-CN"/>
        </w:rPr>
        <w:t>2个，</w:t>
      </w:r>
      <w:r>
        <w:rPr>
          <w:rFonts w:hint="eastAsia" w:ascii="仿宋" w:hAnsi="仿宋" w:eastAsia="仿宋"/>
          <w:color w:val="000000"/>
          <w:sz w:val="32"/>
          <w:szCs w:val="32"/>
        </w:rPr>
        <w:t>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8259.03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2195.74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272.29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67E28F2"/>
    <w:rsid w:val="63DC60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</cp:lastModifiedBy>
  <cp:lastPrinted>2019-01-29T07:14:00Z</cp:lastPrinted>
  <dcterms:modified xsi:type="dcterms:W3CDTF">2019-01-30T08:24:18Z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