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b/>
          <w:color w:val="000000"/>
          <w:spacing w:val="0"/>
          <w:position w:val="0"/>
          <w:sz w:val="32"/>
          <w:shd w:fill="auto" w:val="clear"/>
        </w:rPr>
        <w:t xml:space="preserve">2019年补充内容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一、政府购买服务预算说明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我单位2019年预算安排无政府购买服务项目。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二、项目支出绩效目标情况说明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    本部门2019年预算项目22个，金额共计1258.14万元,其中财政拨款预算项目22个，金额共计1258.14万元，100万元（含100万元）以上项目均按要求填报了《项目支出绩效目标申报表》。</w:t>
      </w: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2019年我单位100万元以上项目共五个，金额898.84万元。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三、重点行政事业性收费情况说明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我单位依照相关法律法规的规定及规章政策，行使城市管理领域的行政处罚权，2019年预计收入290万元。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四、国有资本经营预算财政拨款情况说明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本部门不涉及国有资本经营预算财政拨款情况。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五、国有资产占用情况说明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截止2018年底，本部门固定资产总额1577.17万元，其中：车辆7台，197.63万元；单位价值50万元以上的通用设备1套、832.86万元，单位价值100万元以上的专用设备0台（套）、0万元。(截止2018年底，本部门无国有资产占用情况。)</w:t>
      </w:r>
    </w:p>
    <w:p>
      <w:pPr>
        <w:spacing w:before="0" w:after="0" w:line="560"/>
        <w:ind w:right="0" w:left="0" w:firstLine="66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