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2023年有机农产品认证计划表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1418"/>
        <w:gridCol w:w="2268"/>
        <w:gridCol w:w="113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生产规模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(亩/万头/万只/万羽)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产量（吨）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新增/持续认证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示例1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北京××××公司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黄瓜、番茄等5种蔬菜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/>
        </w:rPr>
        <w:t>（备注：产品名称、生产规模、产量是指所认证的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zkxYzE1NTNhZjc0YzgwZGM2NTc0OTI3MDcwNWQifQ=="/>
  </w:docVars>
  <w:rsids>
    <w:rsidRoot w:val="57ED052A"/>
    <w:rsid w:val="57E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uiPriority w:val="0"/>
    <w:pPr>
      <w:ind w:firstLine="420" w:firstLine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2023-12-12T02:38:00Z</dcterms:created>
  <dc:creator> 祺</dc:creator>
  <cp:lastModifiedBy> 祺</cp:lastModifiedBy>
  <dcterms:modified xsi:type="dcterms:W3CDTF">2023-12-12T02:38:38Z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890D163C6ED0450A95A1C9306397DC79_11</vt:lpwstr>
  </property>
</Properties>
</file>