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Calibri" w:hAnsi="Calibri" w:eastAsia="方正小标宋简体" w:cs="Times New Roman"/>
          <w:kern w:val="44"/>
          <w:sz w:val="44"/>
          <w:szCs w:val="24"/>
          <w:lang w:val="en-US" w:eastAsia="zh-CN" w:bidi="ar-SA"/>
        </w:rPr>
        <w:t>从事农业转基因生物生产、加工经过批准检查标准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一、检查对象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从事农业转基因生物生产、加工的单位和个人。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二、检查方法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sz w:val="32"/>
        </w:rPr>
        <w:t>查阅</w:t>
      </w:r>
      <w:r>
        <w:rPr>
          <w:rFonts w:hint="eastAsia" w:eastAsia="仿宋_GB2312"/>
          <w:sz w:val="32"/>
        </w:rPr>
        <w:t>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《农业转基因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加工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及相关许可证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《农业转基因加工许可证》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及相关许可证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询问工作人员。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三、判定标准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存在未持有《农业转基因加工许可证》及相关许可证或《农业转基因加工许可证》及相关许可证不在有效期内情形的检查项结果为“发现问题”，应当责令停止生产、经营、加工，并立案调查。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四、附件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firstLine="420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《农业转基因生物安全管理条例》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第二十一条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单位和个人从事农业转基因生物生产、加工的，应当由国务院农业行政主管部门或者省、自治区、直辖市人民政府农业行政主管部门批准。具体办法由国务院农业</w:t>
      </w:r>
      <w:r>
        <w:rPr>
          <w:rFonts w:hint="eastAsia" w:eastAsia="仿宋_GB2312"/>
          <w:sz w:val="32"/>
          <w:lang w:val="en-US" w:eastAsia="zh-CN"/>
        </w:rPr>
        <w:t>行政主管部门制定。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  第四十六条  违反本条例规</w:t>
      </w:r>
      <w:r>
        <w:rPr>
          <w:rFonts w:hint="eastAsia" w:eastAsia="仿宋_GB2312"/>
          <w:sz w:val="32"/>
        </w:rPr>
        <w:t>定，未经批准生产、加工农业转基因生物或者未按照批准的品种、范围、安全管理要求和技术标准生产、加工的，由国务院农业行政主管部门或者省、自治区、直辖市人民政府农业行政主管部门依据职权，责令停止生产或者加工，没收违法生产或者加工的产品及违法所得；违法所得10万元以上的，并处违法所得1倍以上5倍以下的罚款；没有违法所得或者违法所得不足10万元的，并处10万元以上20万元以下的罚款。</w:t>
      </w:r>
    </w:p>
    <w:p>
      <w:pPr>
        <w:pStyle w:val="7"/>
        <w:widowControl/>
        <w:shd w:val="clear" w:color="auto" w:fill="FFFFFF"/>
        <w:spacing w:before="225" w:beforeAutospacing="0" w:after="0" w:afterAutospacing="0" w:line="330" w:lineRule="atLeast"/>
        <w:ind w:firstLine="420"/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75BE"/>
    <w:rsid w:val="00002FB8"/>
    <w:rsid w:val="000D7126"/>
    <w:rsid w:val="002E2E58"/>
    <w:rsid w:val="0035105B"/>
    <w:rsid w:val="004677D1"/>
    <w:rsid w:val="00592EDE"/>
    <w:rsid w:val="007866A2"/>
    <w:rsid w:val="008B04E1"/>
    <w:rsid w:val="00A075BE"/>
    <w:rsid w:val="00C97C0A"/>
    <w:rsid w:val="00E10647"/>
    <w:rsid w:val="02032212"/>
    <w:rsid w:val="1AEF6977"/>
    <w:rsid w:val="25863680"/>
    <w:rsid w:val="7B7F824D"/>
    <w:rsid w:val="ADBF8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spacing w:line="560" w:lineRule="exact"/>
      <w:outlineLvl w:val="1"/>
    </w:pPr>
    <w:rPr>
      <w:rFonts w:ascii="Arial" w:hAnsi="Arial" w:eastAsia="黑体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before="0" w:after="140" w:line="276" w:lineRule="auto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490</Characters>
  <Lines>4</Lines>
  <Paragraphs>1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2022-01-09T09:24:00Z</dcterms:created>
  <dc:creator>lenovo</dc:creator>
  <cp:lastModifiedBy>nyncj</cp:lastModifiedBy>
  <dcterms:modified xsi:type="dcterms:W3CDTF">2022-01-28T09:17:18Z</dcterms:modified>
  <dc:title>003-从事农业转基因生物生产、加工经过批准检查标准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