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44"/>
          <w:sz w:val="44"/>
          <w:szCs w:val="24"/>
          <w:lang w:val="en-US" w:eastAsia="zh-CN" w:bidi="ar-SA"/>
        </w:rPr>
        <w:t>经营转基因植物种子、种畜禽、水产苗种的单位和个人建立经营档案检查标准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一、检查对象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经营转基因植物种子、种畜禽、水产苗种的单位和个人。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二、检查方法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default" w:ascii="Calibri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  <w:t>查阅、复制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经营转基因植物种子、种畜禽、水产苗种的单位和个人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经营档案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询问</w:t>
      </w:r>
      <w:r>
        <w:rPr>
          <w:rFonts w:hint="eastAsia" w:eastAsia="仿宋_GB2312" w:cs="Times New Roman"/>
          <w:sz w:val="32"/>
          <w:lang w:val="en-US" w:eastAsia="zh-CN"/>
        </w:rPr>
        <w:t>工作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人员。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三、判定标准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未建立经营档案或经营档案记录项不齐全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情形的</w:t>
      </w:r>
      <w:r>
        <w:rPr>
          <w:rFonts w:hint="eastAsia" w:eastAsia="仿宋_GB2312" w:cs="Times New Roman"/>
          <w:sz w:val="32"/>
          <w:lang w:val="en-US" w:eastAsia="zh-CN"/>
        </w:rPr>
        <w:t>检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查项结果为“发现问题”，应当责令改正</w:t>
      </w:r>
      <w:r>
        <w:rPr>
          <w:rFonts w:hint="eastAsia" w:eastAsia="仿宋_GB2312" w:cs="Times New Roman"/>
          <w:sz w:val="32"/>
          <w:lang w:val="en-US" w:eastAsia="zh-CN"/>
        </w:rPr>
        <w:t>，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并立案调查。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Calibri" w:hAnsi="Calibri" w:eastAsia="楷体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sz w:val="32"/>
          <w:lang w:val="en-US" w:eastAsia="zh-CN"/>
        </w:rPr>
        <w:t>四、说明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经营档案记录项应当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载明种子、种畜禽、水产苗种的来源、贮存、运输和销售去向等内容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五、附件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《农业转基因生物安全管理条例》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第二十六条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经营转基因植物种子、种畜禽、水产苗种的单位和个人，应当建立经营档案，载明种子、种畜禽、水产苗种的来源、贮存、运输和销售去向等内容。  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 第四十七条  违反本条例规定，转基因植物种子、种畜禽、水产苗种的生产、经营单位和个人，未按照规定制作、保存生产、经营档案的，由县级以上人民政府农业行政主管部门依据职权，责令改正，处1000元以上1万元以下的罚款。 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33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 w:ascii="Calibri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617"/>
    <w:rsid w:val="00102675"/>
    <w:rsid w:val="0026543E"/>
    <w:rsid w:val="002C14AC"/>
    <w:rsid w:val="002D379F"/>
    <w:rsid w:val="003412AD"/>
    <w:rsid w:val="004F2861"/>
    <w:rsid w:val="00513997"/>
    <w:rsid w:val="005E2636"/>
    <w:rsid w:val="005F49B1"/>
    <w:rsid w:val="0066496D"/>
    <w:rsid w:val="00680EA1"/>
    <w:rsid w:val="006811FF"/>
    <w:rsid w:val="006A6C1E"/>
    <w:rsid w:val="006D171E"/>
    <w:rsid w:val="007748C3"/>
    <w:rsid w:val="00796617"/>
    <w:rsid w:val="007A4940"/>
    <w:rsid w:val="00A04937"/>
    <w:rsid w:val="00A83324"/>
    <w:rsid w:val="00B02803"/>
    <w:rsid w:val="00B77AEA"/>
    <w:rsid w:val="00BC5AA7"/>
    <w:rsid w:val="00BE2046"/>
    <w:rsid w:val="00C87F3B"/>
    <w:rsid w:val="00CB43B7"/>
    <w:rsid w:val="00CE6A7D"/>
    <w:rsid w:val="00D40AD2"/>
    <w:rsid w:val="00DA58BE"/>
    <w:rsid w:val="00EB2E1C"/>
    <w:rsid w:val="39EE47FA"/>
    <w:rsid w:val="6D153C5A"/>
    <w:rsid w:val="6EEFB38B"/>
    <w:rsid w:val="6FF75A55"/>
    <w:rsid w:val="7AFB66FA"/>
    <w:rsid w:val="E67FC741"/>
    <w:rsid w:val="E7BE40C6"/>
    <w:rsid w:val="EDBD17F5"/>
    <w:rsid w:val="EDEBF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spacing w:beforeLines="0" w:beforeAutospacing="0" w:afterLines="0" w:afterAutospacing="0" w:line="540" w:lineRule="exact"/>
      <w:outlineLvl w:val="2"/>
    </w:pPr>
    <w:rPr>
      <w:rFonts w:eastAsia="楷体_GB231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230</Characters>
  <Lines>1</Lines>
  <Paragraphs>1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2021-10-10T16:48:00Z</dcterms:created>
  <dc:creator>Customer</dc:creator>
  <cp:lastModifiedBy>nyncj</cp:lastModifiedBy>
  <cp:lastPrinted>2022-01-28T09:19:28Z</cp:lastPrinted>
  <dcterms:modified xsi:type="dcterms:W3CDTF">2022-01-28T09:30:21Z</dcterms:modified>
  <dc:title>005-经营转基因植物种子、种畜禽、水产苗种的单位和个人建立经营档案检查标准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