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兽药安全性评价单位、临床试验单位实施兽药研究、试验等检查标准</w:t>
      </w:r>
    </w:p>
    <w:p>
      <w:pPr>
        <w:ind w:left="0" w:leftChars="0" w:firstLine="0" w:firstLineChars="0"/>
        <w:rPr>
          <w:rFonts w:hint="eastAsia"/>
        </w:rPr>
      </w:pPr>
      <w:bookmarkStart w:id="0" w:name="_GoBack"/>
      <w:bookmarkEnd w:id="0"/>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32"/>
          <w:szCs w:val="32"/>
        </w:rPr>
        <w:t>兽药安全性评价单位、临床试验单位</w:t>
      </w:r>
      <w:r>
        <w:rPr>
          <w:rFonts w:hint="eastAsia"/>
          <w:lang w:val="en-US" w:eastAsia="zh-CN"/>
        </w:rPr>
        <w:t>。</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highlight w:val="none"/>
          <w:lang w:val="en-US" w:eastAsia="zh-CN"/>
        </w:rPr>
      </w:pPr>
      <w:r>
        <w:rPr>
          <w:rFonts w:hint="eastAsia"/>
          <w:lang w:val="en-US" w:eastAsia="zh-CN"/>
        </w:rPr>
        <w:t>二、检查</w:t>
      </w:r>
      <w:r>
        <w:rPr>
          <w:rFonts w:hint="eastAsia"/>
          <w:highlight w:val="none"/>
          <w:lang w:val="en-US" w:eastAsia="zh-CN"/>
        </w:rPr>
        <w:t>方法</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1.</w:t>
      </w:r>
      <w:r>
        <w:rPr>
          <w:rFonts w:hint="eastAsia"/>
        </w:rPr>
        <w:t>兽药</w:t>
      </w:r>
      <w:r>
        <w:rPr>
          <w:rFonts w:hint="eastAsia" w:ascii="仿宋_GB2312" w:hAnsi="仿宋_GB2312" w:eastAsia="仿宋_GB2312" w:cs="仿宋_GB2312"/>
          <w:sz w:val="32"/>
          <w:szCs w:val="32"/>
        </w:rPr>
        <w:t>安全性评价单位</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现场检查研究试验场所；</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查阅</w:t>
      </w:r>
      <w:r>
        <w:rPr>
          <w:rFonts w:hint="eastAsia"/>
          <w:lang w:val="en-US" w:eastAsia="zh-CN"/>
        </w:rPr>
        <w:t>机构人员、实验设施、仪器设备和实验材料、标准操作规程、研究工作实施、</w:t>
      </w:r>
      <w:r>
        <w:rPr>
          <w:rFonts w:hint="default"/>
          <w:lang w:val="en-US" w:eastAsia="zh-CN"/>
        </w:rPr>
        <w:t>资料</w:t>
      </w:r>
      <w:r>
        <w:rPr>
          <w:rFonts w:hint="eastAsia"/>
          <w:lang w:val="en-US" w:eastAsia="zh-CN"/>
        </w:rPr>
        <w:t>档案等内容；</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询问研究</w:t>
      </w:r>
      <w:r>
        <w:rPr>
          <w:rFonts w:hint="eastAsia"/>
        </w:rPr>
        <w:t>试验</w:t>
      </w:r>
      <w:r>
        <w:rPr>
          <w:rFonts w:hint="eastAsia"/>
          <w:lang w:val="en-US" w:eastAsia="zh-CN"/>
        </w:rPr>
        <w:t>人员。</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CESI仿宋-GB2312" w:hAnsi="CESI仿宋-GB2312" w:eastAsia="CESI仿宋-GB2312" w:cs="CESI仿宋-GB2312"/>
          <w:i w:val="0"/>
          <w:caps w:val="0"/>
          <w:color w:val="222222"/>
          <w:spacing w:val="0"/>
          <w:kern w:val="0"/>
          <w:sz w:val="32"/>
          <w:szCs w:val="32"/>
          <w:shd w:val="clear" w:color="auto" w:fill="FFFFFF"/>
          <w:lang w:val="en-US" w:eastAsia="zh-CN" w:bidi="ar"/>
        </w:rPr>
        <w:t>2.</w:t>
      </w:r>
      <w:r>
        <w:rPr>
          <w:rFonts w:hint="eastAsia" w:ascii="仿宋_GB2312" w:hAnsi="仿宋_GB2312" w:eastAsia="仿宋_GB2312" w:cs="仿宋_GB2312"/>
          <w:sz w:val="32"/>
          <w:szCs w:val="32"/>
        </w:rPr>
        <w:t>临床试验单位</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现场检查临床试验场所；</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default"/>
          <w:lang w:val="en-US" w:eastAsia="zh-CN"/>
        </w:rPr>
        <w:t>查阅</w:t>
      </w:r>
      <w:r>
        <w:rPr>
          <w:rFonts w:hint="eastAsia"/>
          <w:lang w:val="en-US" w:eastAsia="zh-CN"/>
        </w:rPr>
        <w:t>机构与人员情况、试验者、申请人、协查员情况、临床试验前的准备与必要条件、试验方案、记录与报告、数据管理与统计分析、试验用兽药管理、质量保障与质量控制、多点试验等情况；</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询问研究试验人员。</w:t>
      </w:r>
    </w:p>
    <w:p>
      <w:pPr>
        <w:pStyle w:val="4"/>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三、判定标准</w:t>
      </w:r>
    </w:p>
    <w:p>
      <w:pPr>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存在以下情形之一的，检查项结果为“不合格”，应当给予警告，责令其限期改正。逾期不改正的，责令停止兽药研究试验、生产、经营活动，并处5万元以下罚款；情节严重的，吊销兽药生产许可证、兽药经营许可证；给他人造成损失的，依法承担赔偿责任。</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sz w:val="32"/>
          <w:szCs w:val="32"/>
          <w:lang w:val="en-US" w:eastAsia="zh-CN"/>
        </w:rPr>
        <w:t>1.</w:t>
      </w:r>
      <w:r>
        <w:rPr>
          <w:rFonts w:hint="eastAsia"/>
          <w:lang w:val="en-US" w:eastAsia="zh-CN"/>
        </w:rPr>
        <w:t>违反《</w:t>
      </w:r>
      <w:r>
        <w:rPr>
          <w:rFonts w:hint="eastAsia"/>
        </w:rPr>
        <w:t>兽药非临床研究质量管理规范</w:t>
      </w:r>
      <w:r>
        <w:rPr>
          <w:rFonts w:hint="eastAsia"/>
          <w:lang w:eastAsia="zh-CN"/>
        </w:rPr>
        <w:t>》的；</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i w:val="0"/>
          <w:caps w:val="0"/>
          <w:color w:val="222222"/>
          <w:spacing w:val="0"/>
          <w:kern w:val="0"/>
          <w:sz w:val="32"/>
          <w:szCs w:val="32"/>
          <w:shd w:val="clear" w:color="auto" w:fill="FFFFFF"/>
          <w:lang w:val="en-US" w:eastAsia="zh-CN" w:bidi="ar"/>
        </w:rPr>
        <w:t>2.</w:t>
      </w:r>
      <w:r>
        <w:rPr>
          <w:rFonts w:hint="eastAsia"/>
          <w:lang w:val="en-US" w:eastAsia="zh-CN"/>
        </w:rPr>
        <w:t>违反《</w:t>
      </w:r>
      <w:r>
        <w:rPr>
          <w:rFonts w:hint="eastAsia"/>
        </w:rPr>
        <w:t>兽药临床试验质量管理规范</w:t>
      </w:r>
      <w:r>
        <w:rPr>
          <w:rFonts w:hint="eastAsia"/>
          <w:lang w:eastAsia="zh-CN"/>
        </w:rPr>
        <w:t>》的</w:t>
      </w:r>
      <w:r>
        <w:rPr>
          <w:rFonts w:hint="eastAsia"/>
          <w:lang w:val="en-US" w:eastAsia="zh-CN"/>
        </w:rPr>
        <w:t>。</w:t>
      </w:r>
    </w:p>
    <w:p>
      <w:pPr>
        <w:pStyle w:val="4"/>
        <w:pageBreakBefore w:val="0"/>
        <w:widowControl w:val="0"/>
        <w:tabs>
          <w:tab w:val="left" w:pos="420"/>
        </w:tabs>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1.从事兽药安全性评价的单位，应当经国务院兽医行政管理部门认定，并遵守兽药非临床研究质量管理规范和兽药临床试验质量管理规范</w:t>
      </w:r>
      <w:r>
        <w:rPr>
          <w:rFonts w:hint="eastAsia"/>
          <w:lang w:val="en-US"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仿宋-GB2312" w:hAnsi="CESI仿宋-GB2312" w:eastAsia="CESI仿宋-GB2312" w:cs="CESI仿宋-GB2312"/>
          <w:i w:val="0"/>
          <w:caps w:val="0"/>
          <w:color w:val="222222"/>
          <w:spacing w:val="0"/>
          <w:kern w:val="0"/>
          <w:sz w:val="32"/>
          <w:szCs w:val="32"/>
          <w:shd w:val="clear" w:color="auto" w:fill="FFFFFF"/>
          <w:lang w:val="en-US" w:eastAsia="zh-CN" w:bidi="ar"/>
        </w:rPr>
        <w:t>2.</w:t>
      </w:r>
      <w:r>
        <w:rPr>
          <w:rFonts w:hint="eastAsia"/>
          <w:lang w:val="en-US" w:eastAsia="zh-CN"/>
        </w:rPr>
        <w:t>符合兽药临床试验质量管理规范（GCP）要求单位信息、符合兽药非临床研究质量管理规范（GLP）要求单位信息可以这中国兽药信息网进行查询。</w:t>
      </w:r>
    </w:p>
    <w:p>
      <w:pPr>
        <w:pStyle w:val="4"/>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五、附件</w:t>
      </w:r>
    </w:p>
    <w:p>
      <w:pPr>
        <w:pStyle w:val="5"/>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sz w:val="32"/>
          <w:szCs w:val="32"/>
          <w:lang w:val="en-US" w:eastAsia="zh-CN"/>
        </w:rPr>
        <w:t>1.</w:t>
      </w:r>
      <w:r>
        <w:rPr>
          <w:rFonts w:hint="eastAsia"/>
          <w:lang w:val="en-US" w:eastAsia="zh-CN"/>
        </w:rPr>
        <w:t>《兽药管理条例》相关规定</w:t>
      </w:r>
    </w:p>
    <w:p>
      <w:pPr>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第七条第一款</w:t>
      </w:r>
      <w:r>
        <w:rPr>
          <w:rFonts w:hint="default"/>
          <w:lang w:val="en-US" w:eastAsia="zh-CN"/>
        </w:rPr>
        <w:t>  </w:t>
      </w:r>
      <w:r>
        <w:rPr>
          <w:rFonts w:hint="eastAsia"/>
          <w:lang w:val="en-US" w:eastAsia="zh-CN"/>
        </w:rPr>
        <w:t>研制新兽药，应当具有与研制相适应的场所、仪器设备、专业技术人员、安全管理规范和措施。</w:t>
      </w:r>
    </w:p>
    <w:p>
      <w:pPr>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第七条第二款 研制新兽药，应当进行安全性评价。从事兽药安全性评价的单位应当遵守国务院兽医行政管理部门制定的兽药非临床研究质量管理规范和兽药临床试验质量管理规范。</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第八条第一款 研制新兽药，应当在临床试验前向省、自治区、直辖市人民政府兽医行政管理部门提出申请，并附具该新兽药实验室阶段安全性评价报告及其他临床前研究资料；省、自治区、直辖市人民政府兽医行政管理部门应当自收到申请之日起６０个工作日内将审查结果书面通知申请人。</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第八条第二款 研制的新兽药属于生物制品的，应当在临床试验前向国务院兽医行政管理部门提出申请，国务院兽医行政管理部门应当自收到申请之日起６０个工作日内将审查结果书面通知申请人。</w:t>
      </w:r>
    </w:p>
    <w:p>
      <w:pPr>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第五十九条第一款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pPr>
        <w:pStyle w:val="5"/>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楷体-GB2312" w:hAnsi="CESI楷体-GB2312" w:eastAsia="CESI楷体-GB2312" w:cs="CESI楷体-GB2312"/>
          <w:i w:val="0"/>
          <w:caps w:val="0"/>
          <w:color w:val="222222"/>
          <w:spacing w:val="0"/>
          <w:kern w:val="0"/>
          <w:sz w:val="32"/>
          <w:szCs w:val="32"/>
          <w:shd w:val="clear" w:color="auto" w:fill="FFFFFF"/>
          <w:lang w:val="en-US" w:eastAsia="zh-CN" w:bidi="ar"/>
        </w:rPr>
        <w:t>2.</w:t>
      </w:r>
      <w:r>
        <w:rPr>
          <w:rFonts w:hint="eastAsia"/>
          <w:lang w:val="en-US" w:eastAsia="zh-CN"/>
        </w:rPr>
        <w:t>《新兽药研制管理办法》相关规定</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第五条第二款　承担新兽药安全性评价的单位应当具有农业部认定的资格，执行《兽药非临床研究质量管理规范》，并参照农业部发布的有关技术指导原则进行试验。采用指导原则以外的其他方法和技术进行试验的，应当提交能证明其科学性的资料。</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第十二条第二款　兽药临床试验应当执行《兽药临床试验质量管理规范》。</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第二十七条第一款 兽药安全性评价单位、临床试验单位未按照《兽药非临床研究质量管理规范》或《兽药临床试验质量管理规范》规定实施兽药研究试验的，依照《兽药管理条例》第五十九条的规定予以处罚。</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val="en-US" w:eastAsia="zh-CN"/>
        </w:rPr>
      </w:pPr>
      <w:r>
        <w:rPr>
          <w:rFonts w:hint="eastAsia" w:ascii="CESI楷体-GB2312" w:hAnsi="CESI楷体-GB2312" w:eastAsia="CESI楷体-GB2312" w:cs="CESI楷体-GB2312"/>
          <w:lang w:val="en" w:eastAsia="zh-CN"/>
        </w:rPr>
        <w:t>3.</w:t>
      </w:r>
      <w:r>
        <w:rPr>
          <w:rFonts w:hint="eastAsia"/>
          <w:lang w:val="en-US" w:eastAsia="zh-CN"/>
        </w:rPr>
        <w:t>《兽药非临床研究质量管理规范》（2015年12月9日农业</w:t>
      </w:r>
      <w:r>
        <w:rPr>
          <w:rFonts w:hint="eastAsia"/>
          <w:color w:val="000000"/>
        </w:rPr>
        <w:t>部公告第2336号公布</w:t>
      </w:r>
      <w:r>
        <w:rPr>
          <w:rFonts w:hint="eastAsia"/>
          <w:color w:val="000000"/>
          <w:lang w:eastAsia="zh-CN"/>
        </w:rPr>
        <w:t>）全文略。</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4.</w:t>
      </w:r>
      <w:r>
        <w:rPr>
          <w:rFonts w:hint="eastAsia"/>
          <w:lang w:val="en-US" w:eastAsia="zh-CN"/>
        </w:rPr>
        <w:t>《兽药临床试验质量管理规范》</w:t>
      </w:r>
      <w:r>
        <w:rPr>
          <w:rFonts w:hint="eastAsia"/>
          <w:color w:val="000000"/>
        </w:rPr>
        <w:t>（2015年12月9日农业部公告第2337号公布）</w:t>
      </w:r>
      <w:r>
        <w:rPr>
          <w:rFonts w:hint="eastAsia"/>
          <w:color w:val="000000"/>
          <w:lang w:eastAsia="zh-CN"/>
        </w:rPr>
        <w:t>全文略。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0FFB3246"/>
    <w:rsid w:val="139F729A"/>
    <w:rsid w:val="155D2258"/>
    <w:rsid w:val="1EA44145"/>
    <w:rsid w:val="21515F6B"/>
    <w:rsid w:val="33BE796C"/>
    <w:rsid w:val="34FC9DE6"/>
    <w:rsid w:val="379A4C50"/>
    <w:rsid w:val="3F4760C8"/>
    <w:rsid w:val="3FFFC211"/>
    <w:rsid w:val="42A9539C"/>
    <w:rsid w:val="4B3F3D82"/>
    <w:rsid w:val="4CBC1C7C"/>
    <w:rsid w:val="505452A8"/>
    <w:rsid w:val="52414241"/>
    <w:rsid w:val="553F3158"/>
    <w:rsid w:val="55B93007"/>
    <w:rsid w:val="5C480B90"/>
    <w:rsid w:val="75FFE9F3"/>
    <w:rsid w:val="7FFB5370"/>
    <w:rsid w:val="BDFD02AC"/>
    <w:rsid w:val="C77E6803"/>
    <w:rsid w:val="DEB7AA3E"/>
    <w:rsid w:val="DFBE4098"/>
    <w:rsid w:val="EABCD191"/>
    <w:rsid w:val="FDFF8539"/>
    <w:rsid w:val="FFFFD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character" w:customStyle="1" w:styleId="9">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2021-12-26T22:11:00Z</dcterms:created>
  <dc:creator>gong</dc:creator>
  <cp:lastModifiedBy>nyncj</cp:lastModifiedBy>
  <dcterms:modified xsi:type="dcterms:W3CDTF">2022-01-26T08:48:12Z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