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pageBreakBefore w:val="0"/>
        <w:widowControl w:val="0"/>
        <w:kinsoku/>
        <w:wordWrap/>
        <w:overflowPunct/>
        <w:topLinePunct w:val="0"/>
        <w:autoSpaceDE/>
        <w:autoSpaceDN/>
        <w:bidi w:val="0"/>
        <w:adjustRightInd/>
        <w:snapToGrid/>
        <w:spacing w:line="560" w:lineRule="exact"/>
        <w:ind w:left="0" w:leftChars="0" w:right="-14" w:rightChars="0" w:firstLine="0" w:firstLineChars="0"/>
        <w:jc w:val="center"/>
        <w:textAlignment w:val="auto"/>
        <w:rPr>
          <w:rFonts w:hint="default"/>
          <w:lang w:val="en-US"/>
        </w:rPr>
      </w:pPr>
      <w:r>
        <w:rPr>
          <w:rFonts w:hint="eastAsia" w:ascii="方正小标宋简体" w:hAnsi="方正小标宋简体" w:eastAsia="方正小标宋简体" w:cs="方正小标宋简体"/>
          <w:sz w:val="44"/>
          <w:szCs w:val="44"/>
          <w:lang w:eastAsia="zh-CN"/>
        </w:rPr>
        <w:t>对境外企业在中国直接销售兽药行为的</w:t>
      </w:r>
      <w:bookmarkStart w:id="0" w:name="_GoBack"/>
      <w:bookmarkEnd w:id="0"/>
      <w:r>
        <w:rPr>
          <w:rFonts w:hint="eastAsia" w:ascii="方正小标宋简体" w:hAnsi="方正小标宋简体" w:eastAsia="方正小标宋简体" w:cs="方正小标宋简体"/>
          <w:sz w:val="44"/>
          <w:szCs w:val="44"/>
          <w:lang w:eastAsia="zh-CN"/>
        </w:rPr>
        <w:t>检查标准</w:t>
      </w:r>
    </w:p>
    <w:p>
      <w:pPr>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一、检查对象</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ascii="仿宋_GB2312" w:hAnsi="仿宋_GB2312" w:cs="仿宋_GB2312"/>
          <w:sz w:val="32"/>
          <w:szCs w:val="32"/>
          <w:lang w:eastAsia="zh-CN"/>
        </w:rPr>
        <w:t>兽药经营企业、个人</w:t>
      </w:r>
      <w:r>
        <w:rPr>
          <w:rFonts w:hint="eastAsia"/>
          <w:lang w:val="en-US" w:eastAsia="zh-CN"/>
        </w:rPr>
        <w:t>。</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highlight w:val="none"/>
          <w:lang w:val="en-US" w:eastAsia="zh-CN"/>
        </w:rPr>
      </w:pPr>
      <w:r>
        <w:rPr>
          <w:rFonts w:hint="eastAsia"/>
          <w:lang w:val="en-US" w:eastAsia="zh-CN"/>
        </w:rPr>
        <w:t>二、检查</w:t>
      </w:r>
      <w:r>
        <w:rPr>
          <w:rFonts w:hint="eastAsia"/>
          <w:highlight w:val="none"/>
          <w:lang w:val="en-US" w:eastAsia="zh-CN"/>
        </w:rPr>
        <w:t>方法</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现场检查经营场所、库房、兽药产品；</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查阅采购、入库、销售、出库记录、销售票据等文件材料；</w:t>
      </w:r>
    </w:p>
    <w:p>
      <w:pPr>
        <w:pStyle w:val="2"/>
        <w:pageBreakBefore w:val="0"/>
        <w:widowControl w:val="0"/>
        <w:kinsoku/>
        <w:wordWrap/>
        <w:overflowPunct/>
        <w:topLinePunct w:val="0"/>
        <w:autoSpaceDE/>
        <w:autoSpaceDN/>
        <w:bidi w:val="0"/>
        <w:adjustRightInd/>
        <w:snapToGrid/>
        <w:spacing w:line="560" w:lineRule="exact"/>
        <w:textAlignment w:val="auto"/>
        <w:rPr>
          <w:rFonts w:hint="eastAsia"/>
          <w:lang w:val="en-US" w:eastAsia="zh-CN"/>
        </w:rPr>
      </w:pPr>
      <w:r>
        <w:rPr>
          <w:rFonts w:hint="eastAsia"/>
          <w:lang w:val="en-US" w:eastAsia="zh-CN"/>
        </w:rPr>
        <w:t>询问相关人员。</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三、判定标准</w:t>
      </w:r>
    </w:p>
    <w:p>
      <w:pPr>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lang w:val="en-US" w:eastAsia="zh-CN"/>
        </w:rPr>
        <w:t>存在以下情形之一的，检查项结果为“不合格”，应当责令限期改正，并立案调查：未</w:t>
      </w:r>
      <w:r>
        <w:rPr>
          <w:rFonts w:hint="eastAsia"/>
          <w:lang w:eastAsia="zh-CN"/>
        </w:rPr>
        <w:t>依法在中国境内设立销售机构或者委托符合条件的中国境内代理机构，而直接销售兽药的。</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eastAsia"/>
          <w:lang w:val="en-US" w:eastAsia="zh-CN"/>
        </w:rPr>
      </w:pPr>
      <w:r>
        <w:rPr>
          <w:rFonts w:hint="eastAsia"/>
          <w:lang w:val="en-US" w:eastAsia="zh-CN"/>
        </w:rPr>
        <w:t>四、说明</w:t>
      </w:r>
    </w:p>
    <w:p>
      <w:pPr>
        <w:pStyle w:val="2"/>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eastAsia"/>
          <w:lang w:val="en-US" w:eastAsia="zh-CN"/>
        </w:rPr>
        <w:t>无。</w:t>
      </w:r>
    </w:p>
    <w:p>
      <w:pPr>
        <w:pStyle w:val="4"/>
        <w:keepNext w:val="0"/>
        <w:keepLines w:val="0"/>
        <w:pageBreakBefore w:val="0"/>
        <w:widowControl w:val="0"/>
        <w:tabs>
          <w:tab w:val="left" w:pos="420"/>
        </w:tabs>
        <w:kinsoku/>
        <w:wordWrap/>
        <w:overflowPunct/>
        <w:topLinePunct w:val="0"/>
        <w:autoSpaceDE/>
        <w:autoSpaceDN/>
        <w:bidi w:val="0"/>
        <w:adjustRightInd/>
        <w:snapToGrid/>
        <w:spacing w:before="157" w:beforeLines="50" w:after="157" w:afterLines="50" w:line="560" w:lineRule="exact"/>
        <w:textAlignment w:val="auto"/>
        <w:rPr>
          <w:rFonts w:hint="default"/>
          <w:lang w:val="en-US" w:eastAsia="zh-CN"/>
        </w:rPr>
      </w:pPr>
      <w:r>
        <w:rPr>
          <w:rFonts w:hint="eastAsia"/>
          <w:lang w:val="en-US" w:eastAsia="zh-CN"/>
        </w:rPr>
        <w:t>五、附件</w:t>
      </w:r>
    </w:p>
    <w:p>
      <w:pPr>
        <w:pStyle w:val="5"/>
        <w:pageBreakBefore w:val="0"/>
        <w:widowControl w:val="0"/>
        <w:tabs>
          <w:tab w:val="left" w:pos="420"/>
        </w:tabs>
        <w:kinsoku/>
        <w:wordWrap/>
        <w:overflowPunct/>
        <w:topLinePunct w:val="0"/>
        <w:autoSpaceDE/>
        <w:autoSpaceDN/>
        <w:bidi w:val="0"/>
        <w:adjustRightInd/>
        <w:snapToGrid/>
        <w:spacing w:line="560" w:lineRule="exact"/>
        <w:textAlignment w:val="auto"/>
        <w:rPr>
          <w:rFonts w:hint="default"/>
          <w:lang w:val="en-US" w:eastAsia="zh-CN"/>
        </w:rPr>
      </w:pPr>
      <w:r>
        <w:rPr>
          <w:rFonts w:hint="eastAsia" w:ascii="CESI楷体-GB2312" w:hAnsi="CESI楷体-GB2312" w:eastAsia="CESI楷体-GB2312" w:cs="CESI楷体-GB2312"/>
          <w:lang w:val="en-US" w:eastAsia="zh-CN"/>
        </w:rPr>
        <w:t>1.</w:t>
      </w:r>
      <w:r>
        <w:rPr>
          <w:rFonts w:hint="eastAsia"/>
          <w:lang w:val="en-US" w:eastAsia="zh-CN"/>
        </w:rPr>
        <w:t>《兽药管理条例》相关规定</w:t>
      </w:r>
    </w:p>
    <w:p>
      <w:pPr>
        <w:pStyle w:val="5"/>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第三十五条第一款　境外企业不得在中国直接销售兽药。境外企业在中国销售兽药，应当依法在中国境内设立销售机构或者委托符合条件的中国境内代理机构。</w:t>
      </w:r>
    </w:p>
    <w:p>
      <w:pPr>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r>
        <w:rPr>
          <w:rFonts w:hint="default"/>
          <w:lang w:val="en-US" w:eastAsia="zh-CN"/>
        </w:rPr>
        <w:t>第六十一条　违反本条例规定，境外企业在中国直接销售兽药的，责令其限期改正，没收直接销售的兽药和违法所得，并处5万元以上10万元以下罚款；情节严重的，吊销进口兽药注册证书；给他人造成损失的，依法承担赔偿责任。</w:t>
      </w:r>
    </w:p>
    <w:sectPr>
      <w:pgSz w:w="11906" w:h="16838"/>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9539C"/>
    <w:rsid w:val="00A65B58"/>
    <w:rsid w:val="139F729A"/>
    <w:rsid w:val="155D2258"/>
    <w:rsid w:val="19ED5087"/>
    <w:rsid w:val="1EA44145"/>
    <w:rsid w:val="21515F6B"/>
    <w:rsid w:val="23BFA468"/>
    <w:rsid w:val="2759B27B"/>
    <w:rsid w:val="2BDD7CD9"/>
    <w:rsid w:val="33BE796C"/>
    <w:rsid w:val="3627ECB2"/>
    <w:rsid w:val="379A4C50"/>
    <w:rsid w:val="3D5E0450"/>
    <w:rsid w:val="3DF7167A"/>
    <w:rsid w:val="3F4760C8"/>
    <w:rsid w:val="3F7B0634"/>
    <w:rsid w:val="3FE1681F"/>
    <w:rsid w:val="3FF79E71"/>
    <w:rsid w:val="42A9539C"/>
    <w:rsid w:val="4B3F3D82"/>
    <w:rsid w:val="4CBC1C7C"/>
    <w:rsid w:val="505452A8"/>
    <w:rsid w:val="52414241"/>
    <w:rsid w:val="553F3158"/>
    <w:rsid w:val="5ABBAACF"/>
    <w:rsid w:val="5C480B90"/>
    <w:rsid w:val="5ECDB310"/>
    <w:rsid w:val="5F6B1E85"/>
    <w:rsid w:val="5FFF9943"/>
    <w:rsid w:val="6FFAE7FC"/>
    <w:rsid w:val="73BBBF31"/>
    <w:rsid w:val="758D7E7C"/>
    <w:rsid w:val="75FFE9F3"/>
    <w:rsid w:val="775F9D04"/>
    <w:rsid w:val="776D40BC"/>
    <w:rsid w:val="7A7E3D66"/>
    <w:rsid w:val="7BDDB77F"/>
    <w:rsid w:val="7BFA9123"/>
    <w:rsid w:val="7CE8F081"/>
    <w:rsid w:val="7DFFB0C2"/>
    <w:rsid w:val="7EDFAC8C"/>
    <w:rsid w:val="7F7DDDE9"/>
    <w:rsid w:val="7FDFD85B"/>
    <w:rsid w:val="7FFAD9F5"/>
    <w:rsid w:val="7FFB5370"/>
    <w:rsid w:val="8EFCE35A"/>
    <w:rsid w:val="ABFE0CF1"/>
    <w:rsid w:val="AFFDAC85"/>
    <w:rsid w:val="B165874A"/>
    <w:rsid w:val="BEFFBADC"/>
    <w:rsid w:val="BFBFD90A"/>
    <w:rsid w:val="C3B7A829"/>
    <w:rsid w:val="C52FB74C"/>
    <w:rsid w:val="CF7D8937"/>
    <w:rsid w:val="CFFF2608"/>
    <w:rsid w:val="D7675521"/>
    <w:rsid w:val="D7CE3FCE"/>
    <w:rsid w:val="DFBE4098"/>
    <w:rsid w:val="DFF96724"/>
    <w:rsid w:val="E6FF0BA1"/>
    <w:rsid w:val="EFFF6B76"/>
    <w:rsid w:val="EFFFF7E0"/>
    <w:rsid w:val="F5745E11"/>
    <w:rsid w:val="FFFBB76D"/>
    <w:rsid w:val="FFFFF6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40" w:lineRule="exact"/>
      <w:ind w:firstLine="420" w:firstLineChars="200"/>
      <w:jc w:val="both"/>
    </w:pPr>
    <w:rPr>
      <w:rFonts w:eastAsia="仿宋_GB2312" w:asciiTheme="minorAscii" w:hAnsiTheme="minorAscii" w:cstheme="minorBidi"/>
      <w:kern w:val="2"/>
      <w:sz w:val="32"/>
      <w:szCs w:val="24"/>
      <w:lang w:val="en-US" w:eastAsia="zh-CN" w:bidi="ar-SA"/>
    </w:rPr>
  </w:style>
  <w:style w:type="paragraph" w:styleId="3">
    <w:name w:val="heading 1"/>
    <w:basedOn w:val="1"/>
    <w:next w:val="1"/>
    <w:link w:val="9"/>
    <w:qFormat/>
    <w:uiPriority w:val="0"/>
    <w:pPr>
      <w:keepNext/>
      <w:keepLines/>
      <w:spacing w:before="340" w:beforeLines="0" w:beforeAutospacing="0" w:after="330" w:afterLines="0" w:afterAutospacing="0" w:line="600" w:lineRule="exact"/>
      <w:ind w:left="640" w:leftChars="200" w:right="640" w:rightChars="200" w:firstLine="0" w:firstLineChars="0"/>
      <w:jc w:val="center"/>
      <w:outlineLvl w:val="0"/>
    </w:pPr>
    <w:rPr>
      <w:rFonts w:eastAsia="方正小标宋简体"/>
      <w:kern w:val="44"/>
      <w:sz w:val="44"/>
    </w:rPr>
  </w:style>
  <w:style w:type="paragraph" w:styleId="4">
    <w:name w:val="heading 2"/>
    <w:basedOn w:val="1"/>
    <w:next w:val="1"/>
    <w:semiHidden/>
    <w:unhideWhenUsed/>
    <w:qFormat/>
    <w:uiPriority w:val="0"/>
    <w:pPr>
      <w:keepNext w:val="0"/>
      <w:keepLines w:val="0"/>
      <w:spacing w:beforeLines="0" w:beforeAutospacing="0" w:afterLines="0" w:afterAutospacing="0" w:line="560" w:lineRule="exact"/>
      <w:outlineLvl w:val="1"/>
    </w:pPr>
    <w:rPr>
      <w:rFonts w:ascii="Arial" w:hAnsi="Arial" w:eastAsia="黑体"/>
    </w:rPr>
  </w:style>
  <w:style w:type="paragraph" w:styleId="5">
    <w:name w:val="heading 3"/>
    <w:basedOn w:val="1"/>
    <w:next w:val="1"/>
    <w:unhideWhenUsed/>
    <w:qFormat/>
    <w:uiPriority w:val="0"/>
    <w:pPr>
      <w:keepNext w:val="0"/>
      <w:keepLines w:val="0"/>
      <w:spacing w:beforeLines="0" w:beforeAutospacing="0" w:afterLines="0" w:afterAutospacing="0" w:line="540" w:lineRule="exact"/>
      <w:outlineLvl w:val="2"/>
    </w:pPr>
    <w:rPr>
      <w:rFonts w:eastAsia="楷体_GB2312"/>
    </w:rPr>
  </w:style>
  <w:style w:type="paragraph" w:styleId="6">
    <w:name w:val="heading 4"/>
    <w:basedOn w:val="1"/>
    <w:next w:val="1"/>
    <w:semiHidden/>
    <w:unhideWhenUsed/>
    <w:qFormat/>
    <w:uiPriority w:val="0"/>
    <w:pPr>
      <w:keepNext w:val="0"/>
      <w:keepLines w:val="0"/>
      <w:spacing w:beforeLines="0" w:beforeAutospacing="0" w:afterLines="0" w:afterAutospacing="0" w:line="540" w:lineRule="exact"/>
      <w:outlineLvl w:val="3"/>
    </w:pPr>
    <w:rPr>
      <w:rFonts w:ascii="Arial" w:hAnsi="Arial"/>
      <w:b/>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Courier New" w:hAnsi="Courier New" w:cs="Courier New"/>
      <w:color w:val="000000"/>
      <w:szCs w:val="24"/>
      <w:shd w:val="clear" w:color="auto" w:fill="auto"/>
      <w:lang w:eastAsia="en-US" w:bidi="en-US"/>
    </w:rPr>
  </w:style>
  <w:style w:type="character" w:customStyle="1" w:styleId="9">
    <w:name w:val="标题 1 Char"/>
    <w:link w:val="3"/>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69</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2021-12-27T22:11:00Z</dcterms:created>
  <dc:creator>gong</dc:creator>
  <cp:lastModifiedBy>nyncj</cp:lastModifiedBy>
  <dcterms:modified xsi:type="dcterms:W3CDTF">2022-01-26T08:51:37Z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3888F2A8A29644BD82C41EF3FA8BE7C2</vt:lpwstr>
  </property>
</Properties>
</file>