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是否提供虚假的资料、样品或者采取其他欺骗手段取得兽药生产许可证、兽药经营许可证或者兽药批准证明文件的检查标准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兽药生产、经营企业。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二、检查方法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检查兽药生产、经营企业兽药生产许可证、兽药经营许可证、兽药批准证明文件、工商营业执照；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对照兽药GMP、GSP验收材料，核对人员、设备、制度、记录、图纸等内容；必要时到审批机关核对原始材料。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询问相关人员。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>存在以下情形之一的，检查项结果为“不合格”，应当进行立案调查。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发现虚假材料或样品、或与原始申报材料不一致又无法解释的。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四、说明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1.</w:t>
      </w:r>
      <w:r>
        <w:rPr>
          <w:rFonts w:hint="eastAsia"/>
          <w:lang w:val="en-US" w:eastAsia="zh-CN"/>
        </w:rPr>
        <w:t>兽药批准证明文件，是指兽药产品批准文号、进口兽药注册证书、出口兽药证明文件、新兽药注册证书等文件。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lang w:val="en-US" w:eastAsia="zh-CN"/>
        </w:rPr>
        <w:t>2. </w:t>
      </w:r>
      <w:r>
        <w:rPr>
          <w:rFonts w:hint="eastAsia"/>
          <w:lang w:val="en-US" w:eastAsia="zh-CN"/>
        </w:rPr>
        <w:t>《兽药管理条例》</w:t>
      </w:r>
      <w:r>
        <w:rPr>
          <w:rFonts w:hint="default"/>
          <w:lang w:val="en-US" w:eastAsia="zh-CN"/>
        </w:rPr>
        <w:t>第十一条  </w:t>
      </w:r>
      <w:r>
        <w:rPr>
          <w:rFonts w:hint="eastAsia"/>
          <w:lang w:val="en-US" w:eastAsia="zh-CN"/>
        </w:rPr>
        <w:t>从事兽药生产的企业，应当符合国家兽药行业发展规划和产业政策，并具备下列条件：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（一）与所生产的兽药相适应的兽医学、药学或者相关专业的技术人员；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（二）与所生产的兽药相适应的厂房、设施；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（三）与所生产的兽药相适应的兽药质量管理和质量检验的机构、人员、仪器设备；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（四）符合安全、卫生要求的生产环境；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（五）兽药生产质量管理规范规定的其他生产条件。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符合前款规定条件的，申请人方可向省、自治区、直辖市人民政府兽医行政管理部门提出申请，并附具符合前款规定条件的证明材料；省、自治区、直辖市人民政府兽医行政管理部门应当自收到申请之日起</w:t>
      </w:r>
      <w:r>
        <w:rPr>
          <w:rFonts w:hint="default"/>
          <w:lang w:val="en-US" w:eastAsia="zh-CN"/>
        </w:rPr>
        <w:t>40</w:t>
      </w:r>
      <w:r>
        <w:rPr>
          <w:rFonts w:hint="eastAsia"/>
          <w:lang w:val="en-US" w:eastAsia="zh-CN"/>
        </w:rPr>
        <w:t>个工作日内完成审查。经审查合格的，发给兽药生产许可证；不合格的，应当书面通知申请人。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第二十二条  经营兽药的企业，应当具备下列条件：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（一）与所经营的兽药相适应的兽药技术人员；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（二）与所经营的兽药相适应的营业场所、设备、仓库设施；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（三）与所经营的兽药相适应的质量管理机构或者人员；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（四）兽药经营质量管理规范规定的其他经营条件。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符合前款规定条件的，申请人方可向市、县人民政府兽医行政管理部门提出申请，并附具符合前款规定条件的证明材料；经营兽用生物制品的，应当向省、自治区、直辖市人民政府兽医行政管理部门提出申请，并附具符合前款规定条件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县级以上地方人民政府兽医行政管理部门，应当自收到申请之日起30个工作日内完成审查。审查合格的，发给兽药经营许可证；不合格的，应当书面通知申请人。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五、附件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lang w:val="en-US" w:eastAsia="zh-CN"/>
        </w:rPr>
        <w:t>1.</w:t>
      </w:r>
      <w:r>
        <w:rPr>
          <w:rFonts w:hint="eastAsia"/>
          <w:lang w:val="en-US" w:eastAsia="zh-CN"/>
        </w:rPr>
        <w:t>《兽药管理条例》相关规定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第五十七条  </w:t>
      </w:r>
      <w:r>
        <w:rPr>
          <w:rFonts w:hint="eastAsia"/>
          <w:lang w:val="en-US" w:eastAsia="zh-CN"/>
        </w:rPr>
        <w:t>违反本条例规定，提供虚假的资料、样品或者采取其他欺骗手段取得兽药生产许可证、兽药经营许可证或者兽药批准证明文件的，吊销兽药生产许可证、兽药经营许可证或者撤销兽药批准证明文件，并处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万元以上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万元以下罚款；给他人造成损失的，依法承担赔偿责任。其主要负责人和直接负责的主管人员终身不得从事兽药的生产、经营和进出口活动。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lang w:val="en-US" w:eastAsia="zh-CN"/>
        </w:rPr>
        <w:t>2.</w:t>
      </w:r>
      <w:r>
        <w:rPr>
          <w:rFonts w:hint="eastAsia"/>
          <w:lang w:val="en-US" w:eastAsia="zh-CN"/>
        </w:rPr>
        <w:t>《兽药进口管理办法》相关规定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第二十五条第一款 提供虚假资料或者采取其他欺骗手段取得进口兽药证明文件的，按照《兽药管理条例》第五十七条的规定处罚。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lang w:val="en-US" w:eastAsia="zh-CN"/>
        </w:rPr>
        <w:t>3.</w:t>
      </w:r>
      <w:r>
        <w:rPr>
          <w:rFonts w:hint="eastAsia"/>
          <w:lang w:val="en-US" w:eastAsia="zh-CN"/>
        </w:rPr>
        <w:t>《兽药产品批准文号管理办法》相关规定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第三十条 申请人提供虚假资料、样品或者采取其他欺骗手段取得兽药产品批准文号的，根据《兽药管理条例》第五十七条的规定予以处罚，申请人3年内不得再次申请该兽药产品批准文号。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9539C"/>
    <w:rsid w:val="00A65B58"/>
    <w:rsid w:val="139F729A"/>
    <w:rsid w:val="155D2258"/>
    <w:rsid w:val="1EA44145"/>
    <w:rsid w:val="21515F6B"/>
    <w:rsid w:val="25C3BBD0"/>
    <w:rsid w:val="33BE796C"/>
    <w:rsid w:val="379A4C50"/>
    <w:rsid w:val="3F3ADF4C"/>
    <w:rsid w:val="3F4760C8"/>
    <w:rsid w:val="42A9539C"/>
    <w:rsid w:val="4B3F3D82"/>
    <w:rsid w:val="4CBC1C7C"/>
    <w:rsid w:val="505452A8"/>
    <w:rsid w:val="52414241"/>
    <w:rsid w:val="553F3158"/>
    <w:rsid w:val="5723AB3C"/>
    <w:rsid w:val="5C480B90"/>
    <w:rsid w:val="5F1F5C15"/>
    <w:rsid w:val="75FFE9F3"/>
    <w:rsid w:val="7AFB9E75"/>
    <w:rsid w:val="7B7E498E"/>
    <w:rsid w:val="7B9ED8AC"/>
    <w:rsid w:val="7F7FAC9F"/>
    <w:rsid w:val="7FFB5370"/>
    <w:rsid w:val="9F3F39DC"/>
    <w:rsid w:val="BBB25D37"/>
    <w:rsid w:val="D2FF1756"/>
    <w:rsid w:val="DFBE4098"/>
    <w:rsid w:val="F3CC5207"/>
    <w:rsid w:val="F7D92BEC"/>
    <w:rsid w:val="FD966D0D"/>
    <w:rsid w:val="FDA9103C"/>
    <w:rsid w:val="FF7FEAF2"/>
    <w:rsid w:val="FFDFA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left="640" w:leftChars="200" w:right="640" w:rightChars="200"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40" w:lineRule="exact"/>
      <w:outlineLvl w:val="2"/>
    </w:pPr>
    <w:rPr>
      <w:rFonts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40" w:lineRule="exact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Char"/>
    <w:link w:val="3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2021-12-26T22:11:00Z</dcterms:created>
  <dc:creator>gong</dc:creator>
  <cp:lastModifiedBy>nyncj</cp:lastModifiedBy>
  <dcterms:modified xsi:type="dcterms:W3CDTF">2022-01-26T08:57:51Z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3888F2A8A29644BD82C41EF3FA8BE7C2</vt:lpwstr>
  </property>
</Properties>
</file>