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未经批准或者未按照批准内容从事经营利用水生野生动物活动的检查标准</w:t>
      </w:r>
    </w:p>
    <w:p>
      <w:pPr>
        <w:spacing w:line="520" w:lineRule="exact"/>
        <w:rPr>
          <w:rFonts w:ascii="仿宋_GB2312" w:hAnsi="仿宋_GB2312" w:eastAsia="仿宋_GB2312" w:cs="仿宋_GB2312"/>
          <w:sz w:val="32"/>
          <w:szCs w:val="32"/>
        </w:rPr>
      </w:pPr>
    </w:p>
    <w:p>
      <w:pPr>
        <w:pStyle w:val="15"/>
        <w:numPr>
          <w:ilvl w:val="0"/>
          <w:numId w:val="1"/>
        </w:numPr>
        <w:spacing w:line="520" w:lineRule="exact"/>
        <w:ind w:left="0" w:firstLine="640"/>
        <w:rPr>
          <w:rFonts w:ascii="黑体" w:hAnsi="黑体" w:eastAsia="黑体" w:cs="仿宋_GB2312"/>
          <w:sz w:val="32"/>
          <w:szCs w:val="32"/>
        </w:rPr>
      </w:pPr>
      <w:r>
        <w:rPr>
          <w:rFonts w:ascii="黑体" w:hAnsi="黑体" w:eastAsia="黑体" w:cs="仿宋_GB2312"/>
          <w:sz w:val="32"/>
          <w:szCs w:val="32"/>
        </w:rPr>
        <w:t>检查对象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经营利用</w:t>
      </w:r>
      <w:r>
        <w:rPr>
          <w:rFonts w:ascii="仿宋_GB2312" w:hAnsi="仿宋_GB2312" w:eastAsia="仿宋_GB2312" w:cs="仿宋_GB2312"/>
          <w:sz w:val="32"/>
          <w:szCs w:val="32"/>
        </w:rPr>
        <w:t>水生野生动物单位（</w:t>
      </w:r>
      <w:r>
        <w:rPr>
          <w:rFonts w:hint="eastAsia" w:ascii="仿宋_GB2312" w:hAnsi="仿宋_GB2312" w:eastAsia="仿宋_GB2312" w:cs="仿宋_GB2312"/>
          <w:sz w:val="32"/>
          <w:szCs w:val="32"/>
        </w:rPr>
        <w:t>个人</w:t>
      </w:r>
      <w:r>
        <w:rPr>
          <w:rFonts w:ascii="仿宋_GB2312" w:hAnsi="仿宋_GB2312" w:eastAsia="仿宋_GB2312" w:cs="仿宋_GB2312"/>
          <w:sz w:val="32"/>
          <w:szCs w:val="32"/>
        </w:rPr>
        <w:t>）</w:t>
      </w:r>
    </w:p>
    <w:p>
      <w:pPr>
        <w:pStyle w:val="15"/>
        <w:numPr>
          <w:ilvl w:val="0"/>
          <w:numId w:val="1"/>
        </w:numPr>
        <w:spacing w:line="520" w:lineRule="exact"/>
        <w:ind w:left="0" w:firstLine="640"/>
        <w:rPr>
          <w:rFonts w:ascii="黑体" w:hAnsi="黑体" w:eastAsia="黑体" w:cs="仿宋_GB2312"/>
          <w:sz w:val="32"/>
          <w:szCs w:val="32"/>
        </w:rPr>
      </w:pPr>
      <w:r>
        <w:rPr>
          <w:rFonts w:hint="eastAsia" w:ascii="黑体" w:hAnsi="黑体" w:eastAsia="黑体" w:cs="仿宋_GB2312"/>
          <w:sz w:val="32"/>
          <w:szCs w:val="32"/>
        </w:rPr>
        <w:t>检查方法</w:t>
      </w:r>
    </w:p>
    <w:p>
      <w:pPr>
        <w:pStyle w:val="15"/>
        <w:numPr>
          <w:ilvl w:val="0"/>
          <w:numId w:val="2"/>
        </w:numPr>
        <w:ind w:firstLineChars="0"/>
        <w:rPr>
          <w:rFonts w:ascii="仿宋_GB2312" w:hAnsi="仿宋_GB2312" w:eastAsia="仿宋_GB2312" w:cs="仿宋_GB2312"/>
          <w:sz w:val="32"/>
          <w:szCs w:val="32"/>
        </w:rPr>
      </w:pPr>
      <w:r>
        <w:rPr>
          <w:rFonts w:ascii="仿宋_GB2312" w:hAnsi="仿宋_GB2312" w:eastAsia="仿宋_GB2312" w:cs="仿宋_GB2312"/>
          <w:sz w:val="32"/>
          <w:szCs w:val="32"/>
        </w:rPr>
        <w:t>现场检查</w:t>
      </w:r>
      <w:r>
        <w:rPr>
          <w:rFonts w:hint="eastAsia" w:ascii="仿宋_GB2312" w:hAnsi="仿宋_GB2312" w:eastAsia="仿宋_GB2312" w:cs="仿宋_GB2312"/>
          <w:sz w:val="32"/>
          <w:szCs w:val="32"/>
        </w:rPr>
        <w:t>经营利用</w:t>
      </w:r>
      <w:r>
        <w:rPr>
          <w:rFonts w:ascii="仿宋_GB2312" w:hAnsi="仿宋_GB2312" w:eastAsia="仿宋_GB2312" w:cs="仿宋_GB2312"/>
          <w:sz w:val="32"/>
          <w:szCs w:val="32"/>
        </w:rPr>
        <w:t>情况</w:t>
      </w:r>
      <w:r>
        <w:rPr>
          <w:rFonts w:hint="eastAsia" w:ascii="仿宋_GB2312" w:hAnsi="仿宋_GB2312" w:eastAsia="仿宋_GB2312" w:cs="仿宋_GB2312"/>
          <w:sz w:val="32"/>
          <w:szCs w:val="32"/>
        </w:rPr>
        <w:t>。</w:t>
      </w:r>
    </w:p>
    <w:p>
      <w:pPr>
        <w:pStyle w:val="15"/>
        <w:numPr>
          <w:ilvl w:val="0"/>
          <w:numId w:val="2"/>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查阅、</w:t>
      </w:r>
      <w:r>
        <w:rPr>
          <w:rFonts w:ascii="仿宋_GB2312" w:hAnsi="仿宋_GB2312" w:eastAsia="仿宋_GB2312" w:cs="仿宋_GB2312"/>
          <w:sz w:val="32"/>
          <w:szCs w:val="32"/>
        </w:rPr>
        <w:t>复制许可证</w:t>
      </w:r>
      <w:r>
        <w:rPr>
          <w:rFonts w:hint="eastAsia" w:ascii="仿宋_GB2312" w:hAnsi="仿宋_GB2312" w:eastAsia="仿宋_GB2312" w:cs="仿宋_GB2312"/>
          <w:sz w:val="32"/>
          <w:szCs w:val="32"/>
        </w:rPr>
        <w:t>件、</w:t>
      </w:r>
      <w:r>
        <w:rPr>
          <w:rFonts w:ascii="仿宋_GB2312" w:hAnsi="仿宋_GB2312" w:eastAsia="仿宋_GB2312" w:cs="仿宋_GB2312"/>
          <w:sz w:val="32"/>
          <w:szCs w:val="32"/>
        </w:rPr>
        <w:t>标识或批准文件、</w:t>
      </w:r>
      <w:r>
        <w:rPr>
          <w:rFonts w:hint="eastAsia" w:ascii="仿宋_GB2312" w:hAnsi="仿宋_GB2312" w:eastAsia="仿宋_GB2312" w:cs="仿宋_GB2312"/>
          <w:sz w:val="32"/>
          <w:szCs w:val="32"/>
        </w:rPr>
        <w:t>经营利用</w:t>
      </w:r>
      <w:r>
        <w:rPr>
          <w:rFonts w:ascii="仿宋_GB2312" w:hAnsi="仿宋_GB2312" w:eastAsia="仿宋_GB2312" w:cs="仿宋_GB2312"/>
          <w:sz w:val="32"/>
          <w:szCs w:val="32"/>
        </w:rPr>
        <w:t>档案、</w:t>
      </w:r>
      <w:r>
        <w:rPr>
          <w:rFonts w:hint="eastAsia" w:ascii="仿宋_GB2312" w:hAnsi="仿宋_GB2312" w:eastAsia="仿宋_GB2312" w:cs="仿宋_GB2312"/>
          <w:sz w:val="32"/>
          <w:szCs w:val="32"/>
        </w:rPr>
        <w:t>购销账目</w:t>
      </w:r>
      <w:r>
        <w:rPr>
          <w:rFonts w:ascii="仿宋_GB2312" w:hAnsi="仿宋_GB2312" w:eastAsia="仿宋_GB2312" w:cs="仿宋_GB2312"/>
          <w:sz w:val="32"/>
          <w:szCs w:val="32"/>
        </w:rPr>
        <w:t>等资料</w:t>
      </w:r>
      <w:r>
        <w:rPr>
          <w:rFonts w:hint="eastAsia" w:ascii="仿宋_GB2312" w:hAnsi="仿宋_GB2312" w:eastAsia="仿宋_GB2312" w:cs="仿宋_GB2312"/>
          <w:sz w:val="32"/>
          <w:szCs w:val="32"/>
        </w:rPr>
        <w:t>。</w:t>
      </w:r>
    </w:p>
    <w:p>
      <w:pPr>
        <w:pStyle w:val="15"/>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询问经营利用</w:t>
      </w:r>
      <w:r>
        <w:rPr>
          <w:rFonts w:ascii="仿宋_GB2312" w:hAnsi="仿宋_GB2312" w:eastAsia="仿宋_GB2312" w:cs="仿宋_GB2312"/>
          <w:sz w:val="32"/>
          <w:szCs w:val="32"/>
        </w:rPr>
        <w:t>人员</w:t>
      </w:r>
      <w:r>
        <w:rPr>
          <w:rFonts w:hint="eastAsia" w:ascii="仿宋_GB2312" w:hAnsi="仿宋_GB2312" w:eastAsia="仿宋_GB2312" w:cs="仿宋_GB2312"/>
          <w:sz w:val="32"/>
          <w:szCs w:val="32"/>
        </w:rPr>
        <w:t>。</w:t>
      </w:r>
    </w:p>
    <w:p>
      <w:pPr>
        <w:pStyle w:val="15"/>
        <w:numPr>
          <w:ilvl w:val="0"/>
          <w:numId w:val="1"/>
        </w:numPr>
        <w:spacing w:line="520" w:lineRule="exact"/>
        <w:ind w:left="0" w:firstLine="640"/>
        <w:rPr>
          <w:rFonts w:ascii="黑体" w:hAnsi="黑体" w:eastAsia="黑体" w:cs="仿宋_GB2312"/>
          <w:sz w:val="32"/>
          <w:szCs w:val="32"/>
        </w:rPr>
      </w:pPr>
      <w:r>
        <w:rPr>
          <w:rFonts w:hint="eastAsia" w:ascii="黑体" w:hAnsi="黑体" w:eastAsia="黑体" w:cs="仿宋_GB2312"/>
          <w:sz w:val="32"/>
          <w:szCs w:val="32"/>
        </w:rPr>
        <w:t>判定标准</w:t>
      </w:r>
    </w:p>
    <w:p>
      <w:pPr>
        <w:ind w:firstLine="640" w:firstLineChars="200"/>
        <w:rPr>
          <w:rFonts w:ascii="仿宋_GB2312" w:hAnsi="仿宋_GB2312" w:eastAsia="仿宋_GB2312" w:cs="仿宋_GB2312"/>
          <w:sz w:val="32"/>
          <w:szCs w:val="32"/>
        </w:rPr>
      </w:pPr>
      <w:r>
        <w:rPr>
          <w:rFonts w:hint="eastAsia" w:eastAsia="仿宋_GB2312"/>
          <w:sz w:val="32"/>
        </w:rPr>
        <w:t>有下列情形之一的，检查项结果为“发现问题”，应当责令改正，并立案调查。</w:t>
      </w:r>
    </w:p>
    <w:p>
      <w:pPr>
        <w:pStyle w:val="15"/>
        <w:numPr>
          <w:ilvl w:val="0"/>
          <w:numId w:val="3"/>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出售</w:t>
      </w:r>
      <w:r>
        <w:rPr>
          <w:rFonts w:ascii="仿宋_GB2312" w:hAnsi="仿宋_GB2312" w:eastAsia="仿宋_GB2312" w:cs="仿宋_GB2312"/>
          <w:sz w:val="32"/>
          <w:szCs w:val="32"/>
        </w:rPr>
        <w:t>、购买、</w:t>
      </w:r>
      <w:r>
        <w:rPr>
          <w:rFonts w:hint="eastAsia" w:ascii="仿宋_GB2312" w:hAnsi="仿宋_GB2312" w:eastAsia="仿宋_GB2312" w:cs="仿宋_GB2312"/>
          <w:sz w:val="32"/>
          <w:szCs w:val="32"/>
        </w:rPr>
        <w:t>利用国家、本市重点保护水生野生动物及其制品，未经过主管部门批准</w:t>
      </w:r>
      <w:r>
        <w:rPr>
          <w:rFonts w:ascii="仿宋_GB2312" w:hAnsi="仿宋_GB2312" w:eastAsia="仿宋_GB2312" w:cs="仿宋_GB2312"/>
          <w:sz w:val="32"/>
          <w:szCs w:val="32"/>
        </w:rPr>
        <w:t>。</w:t>
      </w:r>
    </w:p>
    <w:p>
      <w:pPr>
        <w:pStyle w:val="15"/>
        <w:numPr>
          <w:ilvl w:val="0"/>
          <w:numId w:val="3"/>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出售、</w:t>
      </w:r>
      <w:r>
        <w:rPr>
          <w:rFonts w:ascii="仿宋_GB2312" w:hAnsi="仿宋_GB2312" w:eastAsia="仿宋_GB2312" w:cs="仿宋_GB2312"/>
          <w:sz w:val="32"/>
          <w:szCs w:val="32"/>
        </w:rPr>
        <w:t>购买、</w:t>
      </w:r>
      <w:r>
        <w:rPr>
          <w:rFonts w:hint="eastAsia" w:ascii="仿宋_GB2312" w:hAnsi="仿宋_GB2312" w:eastAsia="仿宋_GB2312" w:cs="仿宋_GB2312"/>
          <w:sz w:val="32"/>
          <w:szCs w:val="32"/>
        </w:rPr>
        <w:t>利用</w:t>
      </w:r>
      <w:r>
        <w:rPr>
          <w:rFonts w:ascii="仿宋_GB2312" w:hAnsi="仿宋_GB2312" w:eastAsia="仿宋_GB2312" w:cs="仿宋_GB2312"/>
          <w:sz w:val="32"/>
          <w:szCs w:val="32"/>
        </w:rPr>
        <w:t>的水生野生动物及其制品</w:t>
      </w:r>
      <w:r>
        <w:rPr>
          <w:rFonts w:hint="eastAsia" w:ascii="仿宋_GB2312" w:hAnsi="仿宋_GB2312" w:eastAsia="仿宋_GB2312" w:cs="仿宋_GB2312"/>
          <w:sz w:val="32"/>
          <w:szCs w:val="32"/>
        </w:rPr>
        <w:t>与许可证件、标识</w:t>
      </w:r>
      <w:r>
        <w:rPr>
          <w:rFonts w:ascii="仿宋_GB2312" w:hAnsi="仿宋_GB2312" w:eastAsia="仿宋_GB2312" w:cs="仿宋_GB2312"/>
          <w:sz w:val="32"/>
          <w:szCs w:val="32"/>
        </w:rPr>
        <w:t>信息或批准文件</w:t>
      </w:r>
      <w:r>
        <w:rPr>
          <w:rFonts w:hint="eastAsia" w:ascii="仿宋_GB2312" w:hAnsi="仿宋_GB2312" w:eastAsia="仿宋_GB2312" w:cs="仿宋_GB2312"/>
          <w:sz w:val="32"/>
          <w:szCs w:val="32"/>
        </w:rPr>
        <w:t>载明信息不一致、物种不一致、数量不相符且没有合理解释。</w:t>
      </w:r>
    </w:p>
    <w:p>
      <w:pPr>
        <w:pStyle w:val="15"/>
        <w:numPr>
          <w:ilvl w:val="0"/>
          <w:numId w:val="3"/>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伪造、变造、</w:t>
      </w:r>
      <w:r>
        <w:rPr>
          <w:rFonts w:ascii="仿宋_GB2312" w:hAnsi="仿宋_GB2312" w:eastAsia="仿宋_GB2312" w:cs="仿宋_GB2312"/>
          <w:sz w:val="32"/>
          <w:szCs w:val="32"/>
        </w:rPr>
        <w:t>买卖、租借</w:t>
      </w:r>
      <w:r>
        <w:rPr>
          <w:rFonts w:hint="eastAsia" w:ascii="仿宋_GB2312" w:hAnsi="仿宋_GB2312" w:eastAsia="仿宋_GB2312" w:cs="仿宋_GB2312"/>
          <w:sz w:val="32"/>
          <w:szCs w:val="32"/>
        </w:rPr>
        <w:t>经营利用许可证、专用标识、</w:t>
      </w:r>
      <w:r>
        <w:rPr>
          <w:rFonts w:ascii="仿宋_GB2312" w:hAnsi="仿宋_GB2312" w:eastAsia="仿宋_GB2312" w:cs="仿宋_GB2312"/>
          <w:sz w:val="32"/>
          <w:szCs w:val="32"/>
        </w:rPr>
        <w:t>批准文件。</w:t>
      </w:r>
    </w:p>
    <w:p>
      <w:pPr>
        <w:pStyle w:val="15"/>
        <w:numPr>
          <w:ilvl w:val="0"/>
          <w:numId w:val="3"/>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进口</w:t>
      </w:r>
      <w:r>
        <w:rPr>
          <w:rFonts w:ascii="仿宋_GB2312" w:hAnsi="仿宋_GB2312" w:eastAsia="仿宋_GB2312" w:cs="仿宋_GB2312"/>
          <w:sz w:val="32"/>
          <w:szCs w:val="32"/>
        </w:rPr>
        <w:t>水生野生动物</w:t>
      </w:r>
      <w:r>
        <w:rPr>
          <w:rFonts w:hint="eastAsia" w:ascii="仿宋_GB2312" w:hAnsi="仿宋_GB2312" w:eastAsia="仿宋_GB2312" w:cs="仿宋_GB2312"/>
          <w:sz w:val="32"/>
          <w:szCs w:val="32"/>
        </w:rPr>
        <w:t>及其制品</w:t>
      </w:r>
      <w:r>
        <w:rPr>
          <w:rFonts w:ascii="仿宋_GB2312" w:hAnsi="仿宋_GB2312" w:eastAsia="仿宋_GB2312" w:cs="仿宋_GB2312"/>
          <w:sz w:val="32"/>
          <w:szCs w:val="32"/>
        </w:rPr>
        <w:t>不能提供合法进口许可</w:t>
      </w:r>
      <w:r>
        <w:rPr>
          <w:rFonts w:hint="eastAsia" w:ascii="仿宋_GB2312" w:hAnsi="仿宋_GB2312" w:eastAsia="仿宋_GB2312" w:cs="仿宋_GB2312"/>
          <w:sz w:val="32"/>
          <w:szCs w:val="32"/>
        </w:rPr>
        <w:t>证明</w:t>
      </w:r>
      <w:r>
        <w:rPr>
          <w:rFonts w:ascii="仿宋_GB2312" w:hAnsi="仿宋_GB2312" w:eastAsia="仿宋_GB2312" w:cs="仿宋_GB2312"/>
          <w:sz w:val="32"/>
          <w:szCs w:val="32"/>
        </w:rPr>
        <w:t>文件</w:t>
      </w:r>
      <w:r>
        <w:rPr>
          <w:rFonts w:hint="eastAsia" w:ascii="仿宋_GB2312" w:hAnsi="仿宋_GB2312" w:eastAsia="仿宋_GB2312" w:cs="仿宋_GB2312"/>
          <w:sz w:val="32"/>
          <w:szCs w:val="32"/>
        </w:rPr>
        <w:t>。</w:t>
      </w:r>
    </w:p>
    <w:p>
      <w:pPr>
        <w:pStyle w:val="15"/>
        <w:numPr>
          <w:ilvl w:val="0"/>
          <w:numId w:val="3"/>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生产、</w:t>
      </w:r>
      <w:r>
        <w:rPr>
          <w:rFonts w:ascii="仿宋_GB2312" w:hAnsi="仿宋_GB2312" w:eastAsia="仿宋_GB2312" w:cs="仿宋_GB2312"/>
          <w:sz w:val="32"/>
          <w:szCs w:val="32"/>
        </w:rPr>
        <w:t>经营使用</w:t>
      </w:r>
      <w:r>
        <w:rPr>
          <w:rFonts w:hint="eastAsia" w:ascii="仿宋_GB2312" w:hAnsi="仿宋_GB2312" w:eastAsia="仿宋_GB2312" w:cs="仿宋_GB2312"/>
          <w:sz w:val="32"/>
          <w:szCs w:val="32"/>
        </w:rPr>
        <w:t>国家重点</w:t>
      </w:r>
      <w:r>
        <w:rPr>
          <w:rFonts w:ascii="仿宋_GB2312" w:hAnsi="仿宋_GB2312" w:eastAsia="仿宋_GB2312" w:cs="仿宋_GB2312"/>
          <w:sz w:val="32"/>
          <w:szCs w:val="32"/>
        </w:rPr>
        <w:t>保护水生野生动物及其制品</w:t>
      </w:r>
      <w:r>
        <w:rPr>
          <w:rFonts w:hint="eastAsia" w:ascii="仿宋_GB2312" w:hAnsi="仿宋_GB2312" w:eastAsia="仿宋_GB2312" w:cs="仿宋_GB2312"/>
          <w:sz w:val="32"/>
          <w:szCs w:val="32"/>
        </w:rPr>
        <w:t>制作食品。</w:t>
      </w:r>
    </w:p>
    <w:p>
      <w:pPr>
        <w:pStyle w:val="15"/>
        <w:numPr>
          <w:ilvl w:val="0"/>
          <w:numId w:val="3"/>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ascii="仿宋_GB2312" w:hAnsi="仿宋_GB2312" w:eastAsia="仿宋_GB2312" w:cs="仿宋_GB2312"/>
          <w:sz w:val="32"/>
          <w:szCs w:val="32"/>
        </w:rPr>
        <w:t>食用非法购买国家重点保护的水生野生动物及其制品。</w:t>
      </w:r>
    </w:p>
    <w:p>
      <w:pPr>
        <w:pStyle w:val="15"/>
        <w:numPr>
          <w:ilvl w:val="0"/>
          <w:numId w:val="1"/>
        </w:numPr>
        <w:spacing w:line="520" w:lineRule="exact"/>
        <w:ind w:left="0" w:firstLine="640"/>
        <w:rPr>
          <w:rFonts w:ascii="黑体" w:hAnsi="黑体" w:eastAsia="黑体" w:cs="仿宋_GB2312"/>
          <w:sz w:val="32"/>
          <w:szCs w:val="32"/>
        </w:rPr>
      </w:pPr>
      <w:r>
        <w:rPr>
          <w:rFonts w:hint="eastAsia" w:ascii="黑体" w:hAnsi="黑体" w:eastAsia="黑体" w:cs="仿宋_GB2312"/>
          <w:sz w:val="32"/>
          <w:szCs w:val="32"/>
        </w:rPr>
        <w:t>说明</w:t>
      </w:r>
    </w:p>
    <w:p>
      <w:pPr>
        <w:pStyle w:val="15"/>
        <w:numPr>
          <w:ilvl w:val="0"/>
          <w:numId w:val="4"/>
        </w:numPr>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珍贵濒危水生野生动物：</w:t>
      </w:r>
      <w:r>
        <w:rPr>
          <w:rFonts w:hint="eastAsia" w:ascii="仿宋_GB2312" w:eastAsia="仿宋_GB2312"/>
          <w:sz w:val="32"/>
          <w:szCs w:val="32"/>
        </w:rPr>
        <w:t>国家重点保护野生动物名录，由国务院野生动物保护主管部门组织科学评估后制定；</w:t>
      </w:r>
      <w:r>
        <w:rPr>
          <w:rFonts w:hint="eastAsia" w:ascii="仿宋_GB2312" w:hAnsi="仿宋_GB2312" w:eastAsia="仿宋_GB2312" w:cs="仿宋_GB2312"/>
          <w:sz w:val="32"/>
          <w:szCs w:val="32"/>
        </w:rPr>
        <w:t>《国家重点保护野生动物名录》（2021，国家林业和草原局 农业农村部公告2021年第3号）《&lt;濒危野生动植物种国际贸易公约&gt;附录水生动物物种核准为国家重点保护野生动物名录》（农业农村部公告第491号）</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地方重点保护野生动物，是指国家重点保护野生动物以外，由省、自治区、直辖市重点保护的野生动物。地方重点保护野生动物名录，由省、自治区、直辖市人民政府组织科学评估后制定、调整并公布。</w:t>
      </w:r>
    </w:p>
    <w:p>
      <w:pPr>
        <w:pStyle w:val="15"/>
        <w:numPr>
          <w:ilvl w:val="0"/>
          <w:numId w:val="4"/>
        </w:numPr>
        <w:ind w:left="0" w:firstLine="640"/>
        <w:rPr>
          <w:rFonts w:ascii="仿宋_GB2312" w:hAnsi="仿宋_GB2312" w:eastAsia="仿宋_GB2312" w:cs="仿宋_GB2312"/>
          <w:color w:val="auto"/>
          <w:sz w:val="32"/>
          <w:szCs w:val="32"/>
        </w:rPr>
      </w:pPr>
      <w:bookmarkStart w:id="0" w:name="_GoBack"/>
      <w:r>
        <w:rPr>
          <w:rFonts w:hint="eastAsia" w:ascii="仿宋_GB2312" w:hAnsi="仿宋_GB2312" w:eastAsia="仿宋_GB2312" w:cs="仿宋_GB2312"/>
          <w:color w:val="auto"/>
          <w:sz w:val="32"/>
          <w:szCs w:val="32"/>
        </w:rPr>
        <w:t>仅限野外种群：目前没有法律法规或规范性文件规定其定义，且人工繁育种群是否按照水生野生动物管理没有明确规定。</w:t>
      </w:r>
    </w:p>
    <w:bookmarkEnd w:id="0"/>
    <w:p>
      <w:pPr>
        <w:pStyle w:val="15"/>
        <w:numPr>
          <w:ilvl w:val="0"/>
          <w:numId w:val="1"/>
        </w:numPr>
        <w:spacing w:line="520" w:lineRule="exact"/>
        <w:ind w:left="0" w:firstLine="640"/>
        <w:rPr>
          <w:rFonts w:ascii="黑体" w:hAnsi="黑体" w:eastAsia="黑体" w:cs="仿宋_GB2312"/>
          <w:sz w:val="32"/>
          <w:szCs w:val="32"/>
        </w:rPr>
      </w:pPr>
      <w:r>
        <w:rPr>
          <w:rFonts w:hint="eastAsia" w:ascii="黑体" w:hAnsi="黑体" w:eastAsia="黑体" w:cs="仿宋_GB2312"/>
          <w:sz w:val="32"/>
          <w:szCs w:val="32"/>
        </w:rPr>
        <w:t>附件</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中华人民共和国</w:t>
      </w:r>
      <w:r>
        <w:rPr>
          <w:rFonts w:ascii="仿宋_GB2312" w:hAnsi="仿宋_GB2312" w:eastAsia="仿宋_GB2312" w:cs="仿宋_GB2312"/>
          <w:sz w:val="32"/>
          <w:szCs w:val="32"/>
        </w:rPr>
        <w:t>野生动物保护法》</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在中华人民共和国领域及管辖的其他海域，从事野生动物保护及相关活动，适用本法。</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本法规定保护的野生动物，是指珍贵、濒危的陆生、水生野生动物和有重要生态、科学、社会价值的陆生野生动物。</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本法规定的野生动物及其制品，是指野生动物的整体（含卵、蛋）、部分及其衍生物。</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珍贵、濒危的水生野生动物以外的其他水生野生动物的保护，适用《中华人民共和国渔业法》等有关法律的规定。</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国家对野生动物实行分类分级保护。</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对珍贵、濒危的野生动物实行重点保护。国家重点保护的野生动物分为一级保护野生动物和二级保护野生动物。国家重点保护野生动物名录，由国务院野生动物保护主管部门组织科学评估后制定，并每五年根据评估情况确定对名录进行调整。国家重点保护野生动物名录报国务院批准公布。</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地方重点保护野生动物，是指国家重点保护野生动物以外，由省、自治区、直辖市重点保护的野生动物。地方重点保护野生动物名录，由省、自治区、直辖市人民政府组织科学评估后制定、调整并公布。</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第二十七条　禁止出售、购买、利用国家重点保护野生动物及其制品。</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实行国家重点保护野生动物及其制品专用标识的范围和管理办法，由国务院野生动物保护主管部门规定。</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出售、利用非国家重点保护野生动物的，应当提供狩猎、进出口等合法来源证明。</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出售本条第二款、第四款规定的野生动物的，还应当依法附有检疫证明。</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第二十八条　对人工繁育技术成熟稳定的国家重点保护野生动物，经科学论证，纳入国务院野生动物保护主管部门制定的人工繁育国家重点保护野生动物名录。对列入名录的野生动物及其制品，可以凭人工繁育许可证，按照省、自治区、直辖市人民政府野生动物保护主管部门核验的年度生产数量直接取得专用标识，凭专用标识出售和利用，保证可追溯。</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本法第十条规定的国家重点保护野生动物名录进行调整时，根据有关野外种群保护情况，可以对前款规定的有关人工繁育技术成熟稳定野生动物的人工种群，不再列入国家重点保护野生动物名录，实行与野外种群不同的管理措施，但应当依照本法第二十五条第二款和本条第一款的规定取得人工繁育许可证和专用标识。</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利用野生动物及其制品的，应当以人工繁育种群为主，有利于野外种群养护，符合生态文明建设的要求，尊重社会公德，遵守法律法规和国家有关规定。</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野生动物及其制品作为药品经营和利用的，还应当遵守有关药品管理的法律法规。</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第三十条　禁止生产、经营使用国家重点保护野生动物及其制品制作的食品，或者使用没有合法来源证明的非国家重点保护野生动物及其制品制作的食品。</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禁止为食用非法购买国家重点保护的野生动物及其制品。</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第三十七条　从境外引进野生动物物种的，应当经国务院野生动物保护主管部门批准。从境外引进列入本法第三十五条第一款名录的野生动物，还应当依法取得允许进出口证明书。海关依法实施进境检疫，凭进口批准文件或者允许进出口证明书以及检疫证明按照规定办理通关手续。 </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从境外引进野生动物物种的，应当采取安全可靠的防范措施，防止其进入野外环境，避免对生态系统造成危害。确需将其放归野外的，按照国家有关规定执行。</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第三十五条　中华人民共和国缔结或者参加的国际公约禁止或者限制贸易的野生动物或者其制品名录，由国家濒危物种进出口管理机构制定、调整并公布。</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出口列入前款名录的野生动物或者其制品的，出口国家重点保护野生动物或者其制品的，应当经国务院野生动物保护主管部门或者国务院批准，并取得国家濒危物种进出口管理机构核发的允许进出口证明书。海关依法实施进出境检疫，凭允许进出口证明书、检疫证明按照规定办理通关手续。</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涉及科学技术保密的野生动物物种的出口，按照国务院有关规定办理。</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列入本条第一款名录的野生动物，经国务院野生动物保护主管部门核准，在本法适用范围内可以按照国家重点保护的野生动物管理。</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第三十九条　禁止伪造、变造、买卖、转让、租借特许猎捕证、狩猎证、人工繁育许可证及专用标识，出售、购买、利用国家重点保护野生动物及其制品的批准文件，或者允许进出口证明书、进出口等批准文件。</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2、《国家重点保护野生动物名录》（2021，国家林业和草原局 农业农村部公告2021年第3号）</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3、《&lt;濒危野生动植物种国际贸易公约&gt;附录水生动物物种核准为国家重点保护野生动物名录》（农业农村部公告第491号）</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4、《北京市</w:t>
      </w:r>
      <w:r>
        <w:rPr>
          <w:rFonts w:ascii="仿宋_GB2312" w:hAnsi="仿宋_GB2312" w:eastAsia="仿宋_GB2312" w:cs="仿宋_GB2312"/>
          <w:sz w:val="32"/>
          <w:szCs w:val="32"/>
        </w:rPr>
        <w:t>野生动物保护管理条例</w:t>
      </w:r>
      <w:r>
        <w:rPr>
          <w:rFonts w:hint="eastAsia" w:ascii="仿宋_GB2312" w:hAnsi="仿宋_GB2312" w:eastAsia="仿宋_GB2312" w:cs="仿宋_GB2312"/>
          <w:sz w:val="32"/>
          <w:szCs w:val="32"/>
        </w:rPr>
        <w:t>》</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第二十九条　对列入名录的野生动物进行非食用性利用仅限于科学研究、药用、展示、文物保护等特殊情况，需要出售、利用列入名录的野生动物及其制品的，应当经市野生动物主管部门批准，并按照规定取得和使用专用标识、检疫证明，保证全程可追溯。</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Noto Serif CJK JP"/>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erif CJK JP">
    <w:panose1 w:val="02020400000000000000"/>
    <w:charset w:val="86"/>
    <w:family w:val="auto"/>
    <w:pitch w:val="default"/>
    <w:sig w:usb0="30000083" w:usb1="2BDF3C1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D3526"/>
    <w:multiLevelType w:val="multilevel"/>
    <w:tmpl w:val="361D352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5117BE"/>
    <w:multiLevelType w:val="multilevel"/>
    <w:tmpl w:val="3D5117BE"/>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E4623C5"/>
    <w:multiLevelType w:val="multilevel"/>
    <w:tmpl w:val="4E4623C5"/>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E6643B9"/>
    <w:multiLevelType w:val="multilevel"/>
    <w:tmpl w:val="5E6643B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
  <w:drawingGridVerticalSpacing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D9"/>
    <w:rsid w:val="00027343"/>
    <w:rsid w:val="00105455"/>
    <w:rsid w:val="00132343"/>
    <w:rsid w:val="002456C4"/>
    <w:rsid w:val="00275583"/>
    <w:rsid w:val="002812B4"/>
    <w:rsid w:val="002958D2"/>
    <w:rsid w:val="003460D2"/>
    <w:rsid w:val="00396A57"/>
    <w:rsid w:val="00471060"/>
    <w:rsid w:val="004A679B"/>
    <w:rsid w:val="004C53D6"/>
    <w:rsid w:val="0055640A"/>
    <w:rsid w:val="005A3D0D"/>
    <w:rsid w:val="00601895"/>
    <w:rsid w:val="0061220D"/>
    <w:rsid w:val="006A552B"/>
    <w:rsid w:val="006C69C9"/>
    <w:rsid w:val="006E68DF"/>
    <w:rsid w:val="006F4188"/>
    <w:rsid w:val="00755084"/>
    <w:rsid w:val="007701A5"/>
    <w:rsid w:val="007961BD"/>
    <w:rsid w:val="007E15EA"/>
    <w:rsid w:val="00885B42"/>
    <w:rsid w:val="008D2707"/>
    <w:rsid w:val="00944034"/>
    <w:rsid w:val="00996C45"/>
    <w:rsid w:val="009C3989"/>
    <w:rsid w:val="00A36B1A"/>
    <w:rsid w:val="00A4707C"/>
    <w:rsid w:val="00AD58AB"/>
    <w:rsid w:val="00B8305C"/>
    <w:rsid w:val="00C5288F"/>
    <w:rsid w:val="00CC2831"/>
    <w:rsid w:val="00CD5136"/>
    <w:rsid w:val="00CD6489"/>
    <w:rsid w:val="00DA6CD9"/>
    <w:rsid w:val="00E54620"/>
    <w:rsid w:val="00F03D89"/>
    <w:rsid w:val="00FB386C"/>
    <w:rsid w:val="2EEAC08B"/>
    <w:rsid w:val="3ECB4535"/>
    <w:rsid w:val="57F41037"/>
    <w:rsid w:val="5EF9B0A9"/>
    <w:rsid w:val="669F3CF0"/>
    <w:rsid w:val="66EFC494"/>
    <w:rsid w:val="6F779B3D"/>
    <w:rsid w:val="6FCEF8DD"/>
    <w:rsid w:val="7B7D739B"/>
    <w:rsid w:val="7F7F50F9"/>
    <w:rsid w:val="7FECD66D"/>
    <w:rsid w:val="7FFF7E0B"/>
    <w:rsid w:val="B1589FAF"/>
    <w:rsid w:val="BF7DEB46"/>
    <w:rsid w:val="CFBF4220"/>
    <w:rsid w:val="EA6E1FB6"/>
    <w:rsid w:val="EDBF0F09"/>
    <w:rsid w:val="EEDB3566"/>
    <w:rsid w:val="F37D40C3"/>
    <w:rsid w:val="FCD5E331"/>
    <w:rsid w:val="FD8FDC9F"/>
    <w:rsid w:val="FF97F956"/>
    <w:rsid w:val="FFFFD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i/>
      <w:iCs/>
      <w:sz w:val="24"/>
    </w:rPr>
  </w:style>
  <w:style w:type="paragraph" w:styleId="3">
    <w:name w:val="Body Text"/>
    <w:basedOn w:val="1"/>
    <w:qFormat/>
    <w:uiPriority w:val="0"/>
    <w:pPr>
      <w:spacing w:after="140" w:line="276" w:lineRule="auto"/>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List"/>
    <w:basedOn w:val="3"/>
    <w:qFormat/>
    <w:uiPriority w:val="0"/>
  </w:style>
  <w:style w:type="paragraph" w:styleId="7">
    <w:name w:val="Normal (Web)"/>
    <w:basedOn w:val="1"/>
    <w:qFormat/>
    <w:uiPriority w:val="0"/>
    <w:pPr>
      <w:spacing w:beforeAutospacing="1" w:afterAutospacing="1"/>
      <w:jc w:val="left"/>
    </w:pPr>
    <w:rPr>
      <w:kern w:val="0"/>
      <w:sz w:val="24"/>
    </w:rPr>
  </w:style>
  <w:style w:type="character" w:customStyle="1" w:styleId="10">
    <w:name w:val="默认段落字体1"/>
    <w:qFormat/>
    <w:uiPriority w:val="0"/>
  </w:style>
  <w:style w:type="paragraph" w:customStyle="1" w:styleId="11">
    <w:name w:val="Heading"/>
    <w:basedOn w:val="1"/>
    <w:next w:val="3"/>
    <w:qFormat/>
    <w:uiPriority w:val="0"/>
    <w:pPr>
      <w:keepNext/>
      <w:spacing w:before="240" w:after="120"/>
    </w:pPr>
    <w:rPr>
      <w:rFonts w:ascii="Liberation Sans" w:hAnsi="Liberation Sans" w:eastAsia="Noto Sans CJK SC Regular" w:cs="Noto Sans CJK SC Regular"/>
      <w:sz w:val="28"/>
      <w:szCs w:val="28"/>
    </w:rPr>
  </w:style>
  <w:style w:type="paragraph" w:customStyle="1" w:styleId="12">
    <w:name w:val="Index"/>
    <w:basedOn w:val="1"/>
    <w:qFormat/>
    <w:uiPriority w:val="0"/>
    <w:pPr>
      <w:suppressLineNumbers/>
    </w:pPr>
  </w:style>
  <w:style w:type="character" w:customStyle="1" w:styleId="13">
    <w:name w:val="页眉 Char"/>
    <w:basedOn w:val="9"/>
    <w:link w:val="5"/>
    <w:qFormat/>
    <w:uiPriority w:val="0"/>
    <w:rPr>
      <w:rFonts w:ascii="Calibri" w:hAnsi="Calibri"/>
      <w:kern w:val="2"/>
      <w:sz w:val="18"/>
      <w:szCs w:val="18"/>
    </w:rPr>
  </w:style>
  <w:style w:type="character" w:customStyle="1" w:styleId="14">
    <w:name w:val="页脚 Char"/>
    <w:basedOn w:val="9"/>
    <w:link w:val="4"/>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405</Words>
  <Characters>2309</Characters>
  <Lines>19</Lines>
  <Paragraphs>5</Paragraphs>
  <TotalTime>51</TotalTime>
  <ScaleCrop>false</ScaleCrop>
  <LinksUpToDate>false</LinksUpToDate>
  <CharactersWithSpaces>2709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2018-11-30T17:47:00Z</dcterms:created>
  <dc:creator>nyncj</dc:creator>
  <cp:lastModifiedBy>nyncj</cp:lastModifiedBy>
  <dcterms:modified xsi:type="dcterms:W3CDTF">2022-01-25T16:13:33Z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