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720" w:firstLineChars="200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农药生产企业是否生产劣质农药检查标准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检查对象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农药生产企业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检查方法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农药生产企业场所，检查生产线和生产产品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查阅、复制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农药生产记录和销售台账。</w:t>
      </w:r>
    </w:p>
    <w:p>
      <w:pPr>
        <w:numPr>
          <w:ilvl w:val="0"/>
          <w:numId w:val="0"/>
        </w:numPr>
        <w:spacing w:line="520" w:lineRule="exact"/>
        <w:ind w:firstLine="640" w:firstLineChars="200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询问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农药生产销售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人员、农药生产企业负责人。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判定标准</w:t>
      </w:r>
    </w:p>
    <w:p>
      <w:pPr>
        <w:pStyle w:val="2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存在以下情形之一的，检查项结果为“发现问题”，应当责令改正，并立案调查。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根据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农药管理条例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第四十五条规定开展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，有下列情形之一的，认定为劣质农药：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(一)不符合农药产品质量标准；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(二)混有导致药害等有害成分。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超过农药质量保证期的农药，按照劣质农药处理。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“不符合农药产品质量标准、混有导致药害等有害成分”农药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的认定以具备资质的检测机构出具的检测报告为准。</w:t>
      </w:r>
    </w:p>
    <w:p>
      <w:pPr>
        <w:numPr>
          <w:ilvl w:val="0"/>
          <w:numId w:val="1"/>
        </w:numPr>
        <w:spacing w:line="520" w:lineRule="exact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农药管理条例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第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二十一条规定，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农药生产企业应当严格按照产品质量标准进行生产，确保农药产品与登记农药一致。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生产许可管理办法》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第十八条规定，农药生产企业应当按照产品质量标准和生产许可证的规定组织生产，确保农药产品与登记农药一致，对农药产品质量负责。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农药管理条例</w:t>
      </w:r>
      <w:r>
        <w:rPr>
          <w:rFonts w:ascii="仿宋_GB2312" w:hAnsi="仿宋_GB2312" w:eastAsia="仿宋_GB2312" w:cs="仿宋_GB2312"/>
          <w:sz w:val="32"/>
          <w:szCs w:val="32"/>
          <w:lang w:val="e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第四十五条规定，有下列情形之一的，认定为劣质农药：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(一)不符合农药产品质量标准；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(二)混有导致药害等有害成分。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超过农药质量保证期的农药，按照劣质农药处理。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《农药管理条例》第五十二条第三款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农药生产企业生产劣质农药的，由县级以上地方人民政府农业主管部门责令停止生产，没收违法所得、违法生产的产品和用于违法生产的工具、设备、原材料等，违法生产的产品货值金额不足1万元的，并处1万元以上5万元以下罚款，货值金额1万元以上的，并处货值金额5倍以上10倍以下罚款；情节严重的，由发证机关吊销农药生产许可证和相应的农药登记证；构成犯罪的，依法追究刑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F64B5"/>
    <w:multiLevelType w:val="singleLevel"/>
    <w:tmpl w:val="5DDF6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59"/>
    <w:rsid w:val="0005072D"/>
    <w:rsid w:val="002F3B59"/>
    <w:rsid w:val="00894118"/>
    <w:rsid w:val="008B3AF4"/>
    <w:rsid w:val="00AE6F16"/>
    <w:rsid w:val="00FC6E36"/>
    <w:rsid w:val="ABFFE54C"/>
    <w:rsid w:val="DDEF7200"/>
    <w:rsid w:val="FFF4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Courier New" w:hAnsi="Courier New" w:cs="Courier New"/>
      <w:color w:val="000000"/>
      <w:szCs w:val="24"/>
      <w:shd w:val="clear" w:color="auto" w:fill="auto"/>
      <w:lang w:eastAsia="en-US" w:bidi="en-US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371</Characters>
  <Lines>3</Lines>
  <Paragraphs>1</Paragraphs>
  <TotalTime>3</TotalTime>
  <ScaleCrop>false</ScaleCrop>
  <LinksUpToDate>false</LinksUpToDate>
  <CharactersWithSpaces>435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2021-10-13T08:21:00Z</dcterms:created>
  <dc:creator>BGS</dc:creator>
  <cp:lastModifiedBy>nyncj</cp:lastModifiedBy>
  <dcterms:modified xsi:type="dcterms:W3CDTF">2022-01-14T14:32:23Z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