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仿宋_GB2312"/>
          <w:sz w:val="32"/>
          <w:szCs w:val="32"/>
          <w:lang w:val="en"/>
        </w:rPr>
      </w:pPr>
      <w:r>
        <w:rPr>
          <w:rFonts w:hint="eastAsia" w:ascii="方正小标宋简体" w:hAnsi="方正小标宋简体" w:eastAsia="方正小标宋简体" w:cs="仿宋_GB2312"/>
          <w:sz w:val="32"/>
          <w:szCs w:val="32"/>
          <w:lang w:val="en"/>
        </w:rPr>
        <w:t>农药经营者是否经营劣质农药检查标准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检查对象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经营者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检查方法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农药经营者经营场所及制度，检查农药经营许可资质及经营产品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查阅、复制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农药采购台账和销售台账。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农药销售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人员、农药经营者负责人。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判定标准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存在以下情形之一的，检查项结果为“发现问题”，应当责令改正，并立案调查。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1.经营的农药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不符合农药产品质量标准；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2.经营的农药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混有导致药害等有害成分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；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3.经营的农药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超过农药质量保证期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四、说明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开展检查时，“不符合农药产品质量标准、混有导致药害等有害成分”农药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的认定以具备资质的检测机构出具的检测报告为准。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开展检查时，“超过农药质量保证期的农药”的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认定以检查农药产品的日期是否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在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产品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生产日期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之后的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保质期限”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之内进行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判断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五、附件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农药管理条例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第四十五条规定，有下列情形之一的，认定为劣质农药：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(一)不符合农药产品质量标准；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(二)混有导致药害等有害成分。</w:t>
      </w:r>
    </w:p>
    <w:p>
      <w:pPr>
        <w:spacing w:line="520" w:lineRule="exact"/>
        <w:ind w:firstLine="640" w:firstLineChars="200"/>
        <w:rPr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超过农药质量保证期的农药，按照劣质农药处理。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《农药管理条例》第五十六条　农药经营者经营劣质农药的，由县级以上地方人民政府农业主管部门责令停止经营，没收违法所得、违法经营的农药和用于违法经营的工具、设备等，违法经营的农药货值金额不足1万元的，并处2000元以上2万元以下罚款，货值金额1万元以上的，并处货值金额2倍以上5倍以下罚款；情节严重的，由发证机关吊销农药经营许可证；构成犯罪的，依法追究刑事责任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F64B5"/>
    <w:multiLevelType w:val="singleLevel"/>
    <w:tmpl w:val="5DDF6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02"/>
    <w:rsid w:val="000B6002"/>
    <w:rsid w:val="001B4331"/>
    <w:rsid w:val="00346042"/>
    <w:rsid w:val="007453EE"/>
    <w:rsid w:val="00B85F31"/>
    <w:rsid w:val="00BB63B5"/>
    <w:rsid w:val="7B9EE071"/>
    <w:rsid w:val="BCFCF778"/>
    <w:rsid w:val="FFB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ascii="Courier New" w:hAnsi="Courier New" w:cs="Courier New"/>
      <w:color w:val="000000"/>
      <w:szCs w:val="24"/>
      <w:shd w:val="clear" w:color="auto" w:fill="auto"/>
      <w:lang w:eastAsia="en-US" w:bidi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2021-10-13T17:27:00Z</dcterms:created>
  <dc:creator>BGS</dc:creator>
  <cp:lastModifiedBy>nyncj</cp:lastModifiedBy>
  <dcterms:modified xsi:type="dcterms:W3CDTF">2022-01-14T14:12:59Z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