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ascii="方正小标宋简体" w:hAnsi="方正小标宋简体" w:eastAsia="方正小标宋简体" w:cs="仿宋_GB2312"/>
          <w:color w:val="000000" w:themeColor="text1"/>
          <w:sz w:val="32"/>
          <w:szCs w:val="32"/>
          <w:lang w:val="en"/>
          <w14:textFill>
            <w14:solidFill>
              <w14:schemeClr w14:val="tx1"/>
            </w14:solidFill>
          </w14:textFill>
        </w:rPr>
      </w:pPr>
      <w:r>
        <w:rPr>
          <w:rFonts w:hint="eastAsia" w:ascii="方正小标宋简体" w:hAnsi="方正小标宋简体" w:eastAsia="方正小标宋简体" w:cs="仿宋_GB2312"/>
          <w:color w:val="000000" w:themeColor="text1"/>
          <w:sz w:val="32"/>
          <w:szCs w:val="32"/>
          <w:lang w:val="en"/>
          <w14:textFill>
            <w14:solidFill>
              <w14:schemeClr w14:val="tx1"/>
            </w14:solidFill>
          </w14:textFill>
        </w:rPr>
        <w:t>农药使用者是否使用禁用的农药检查标准</w:t>
      </w:r>
    </w:p>
    <w:p>
      <w:pPr>
        <w:numPr>
          <w:ilvl w:val="0"/>
          <w:numId w:val="1"/>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使用者</w:t>
      </w:r>
    </w:p>
    <w:p>
      <w:pPr>
        <w:numPr>
          <w:ilvl w:val="0"/>
          <w:numId w:val="1"/>
        </w:numPr>
        <w:spacing w:line="520" w:lineRule="exact"/>
        <w:ind w:left="0" w:leftChars="0"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农药使用者场所</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eastAsia="zh-CN"/>
        </w:rPr>
        <w:t>农药使用记录</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农药使用者</w:t>
      </w:r>
      <w:r>
        <w:rPr>
          <w:rFonts w:hint="eastAsia" w:ascii="仿宋_GB2312" w:hAnsi="仿宋_GB2312" w:eastAsia="仿宋_GB2312" w:cs="仿宋_GB2312"/>
          <w:sz w:val="32"/>
          <w:szCs w:val="32"/>
          <w:lang w:val="en-US" w:eastAsia="zh-CN"/>
        </w:rPr>
        <w:t>。</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存在“农药使用者使用禁用的农药”情形的，检查项结果为“发现问题”，应当责令改正，并立案调查。</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outlineLvl w:val="2"/>
        <w:rPr>
          <w:rFonts w:ascii="仿宋_GB2312" w:hAnsi="仿宋_GB2312" w:eastAsia="仿宋_GB2312" w:cs="仿宋_GB2312"/>
          <w:sz w:val="32"/>
          <w:szCs w:val="32"/>
          <w:lang w:val="en"/>
        </w:rPr>
      </w:pPr>
      <w:bookmarkStart w:id="0" w:name="_Toc496518214"/>
      <w:r>
        <w:rPr>
          <w:rFonts w:hint="eastAsia" w:ascii="仿宋_GB2312" w:hAnsi="仿宋_GB2312" w:eastAsia="仿宋_GB2312" w:cs="仿宋_GB2312"/>
          <w:sz w:val="32"/>
          <w:szCs w:val="32"/>
          <w:lang w:val="en"/>
        </w:rPr>
        <w:t>现场检查时</w:t>
      </w:r>
      <w:r>
        <w:rPr>
          <w:rFonts w:ascii="仿宋_GB2312" w:hAnsi="仿宋_GB2312" w:eastAsia="仿宋_GB2312" w:cs="仿宋_GB2312"/>
          <w:sz w:val="32"/>
          <w:szCs w:val="32"/>
          <w:lang w:val="en"/>
        </w:rPr>
        <w:t>，禁用</w:t>
      </w:r>
      <w:r>
        <w:rPr>
          <w:rFonts w:hint="eastAsia" w:ascii="仿宋_GB2312" w:hAnsi="仿宋_GB2312" w:eastAsia="仿宋_GB2312" w:cs="仿宋_GB2312"/>
          <w:sz w:val="32"/>
          <w:szCs w:val="32"/>
          <w:lang w:val="en"/>
        </w:rPr>
        <w:t>的</w:t>
      </w:r>
      <w:r>
        <w:rPr>
          <w:rFonts w:ascii="仿宋_GB2312" w:hAnsi="仿宋_GB2312" w:eastAsia="仿宋_GB2312" w:cs="仿宋_GB2312"/>
          <w:sz w:val="32"/>
          <w:szCs w:val="32"/>
          <w:lang w:val="en"/>
        </w:rPr>
        <w:t>农药以下</w:t>
      </w:r>
      <w:r>
        <w:rPr>
          <w:rFonts w:hint="eastAsia" w:ascii="仿宋_GB2312" w:hAnsi="仿宋_GB2312" w:eastAsia="仿宋_GB2312" w:cs="仿宋_GB2312"/>
          <w:sz w:val="32"/>
          <w:szCs w:val="32"/>
          <w:lang w:val="en"/>
        </w:rPr>
        <w:t>表</w:t>
      </w:r>
      <w:r>
        <w:rPr>
          <w:rFonts w:ascii="仿宋_GB2312" w:hAnsi="仿宋_GB2312" w:eastAsia="仿宋_GB2312" w:cs="仿宋_GB2312"/>
          <w:sz w:val="32"/>
          <w:szCs w:val="32"/>
          <w:lang w:val="en"/>
        </w:rPr>
        <w:t>为准进行认定。</w:t>
      </w:r>
    </w:p>
    <w:p>
      <w:pPr>
        <w:spacing w:line="520" w:lineRule="exact"/>
        <w:jc w:val="center"/>
        <w:outlineLvl w:val="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禁限用农药名录（2021年版）</w:t>
      </w:r>
      <w:bookmarkEnd w:id="0"/>
    </w:p>
    <w:tbl>
      <w:tblPr>
        <w:tblStyle w:val="7"/>
        <w:tblW w:w="86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2693"/>
        <w:gridCol w:w="709"/>
        <w:gridCol w:w="43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634" w:type="dxa"/>
            <w:gridSpan w:val="4"/>
            <w:vAlign w:val="center"/>
          </w:tcPr>
          <w:p>
            <w:pPr>
              <w:spacing w:line="520" w:lineRule="exact"/>
              <w:jc w:val="center"/>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全面禁止使用农药名录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六六六</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23</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磷胺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滴滴涕</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24</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苯线磷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毒杀芬</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25</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地虫硫磷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二溴氯丙烷</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26</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甲基硫环磷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5</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杀虫脒</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27</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磷化钙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6</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二溴乙烷</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28</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磷化镁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7</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除草醚</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29</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磷化锌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8</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艾氏剂</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30</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硫线磷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9</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狄氏剂</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31</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蝇毒磷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10</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汞制剂</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32</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治螟磷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11</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砷类</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33</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特丁硫磷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12</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铅类</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34</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氯磺隆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13</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敌枯双</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35</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胺苯磺隆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14</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氟乙酰胺</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36</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甲磺隆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15</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甘氟</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37</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福美胂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16</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毒鼠强</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38</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福美甲胂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17</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氟乙酸钠</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39</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三氯杀螨醇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18</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毒鼠硅</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40</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氟</w:t>
            </w:r>
            <w:r>
              <w:rPr>
                <w:rFonts w:ascii="仿宋_GB2312" w:hAnsi="仿宋_GB2312" w:eastAsia="仿宋_GB2312" w:cs="仿宋_GB2312"/>
                <w:sz w:val="30"/>
                <w:szCs w:val="30"/>
                <w:lang w:val="en"/>
              </w:rPr>
              <w:t>虫胺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19</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甲胺磷</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41</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百草枯（国内</w:t>
            </w:r>
            <w:r>
              <w:rPr>
                <w:rFonts w:ascii="仿宋_GB2312" w:hAnsi="仿宋_GB2312" w:eastAsia="仿宋_GB2312" w:cs="仿宋_GB2312"/>
                <w:sz w:val="30"/>
                <w:szCs w:val="30"/>
                <w:lang w:val="en"/>
              </w:rPr>
              <w:t>禁止使用，</w:t>
            </w:r>
            <w:r>
              <w:rPr>
                <w:rFonts w:hint="eastAsia" w:ascii="仿宋_GB2312" w:hAnsi="仿宋_GB2312" w:eastAsia="仿宋_GB2312" w:cs="仿宋_GB2312"/>
                <w:sz w:val="30"/>
                <w:szCs w:val="30"/>
                <w:lang w:val="en"/>
              </w:rPr>
              <w:t>仅</w:t>
            </w:r>
            <w:r>
              <w:rPr>
                <w:rFonts w:ascii="仿宋_GB2312" w:hAnsi="仿宋_GB2312" w:eastAsia="仿宋_GB2312" w:cs="仿宋_GB2312"/>
                <w:sz w:val="30"/>
                <w:szCs w:val="30"/>
                <w:lang w:val="en"/>
              </w:rPr>
              <w:t>供境外使用</w:t>
            </w:r>
            <w:r>
              <w:rPr>
                <w:rFonts w:hint="eastAsia" w:ascii="仿宋_GB2312" w:hAnsi="仿宋_GB2312" w:eastAsia="仿宋_GB2312" w:cs="仿宋_GB2312"/>
                <w:sz w:val="30"/>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20</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甲基对硫磷</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42</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2,4-滴丁酯（国内</w:t>
            </w:r>
            <w:r>
              <w:rPr>
                <w:rFonts w:ascii="仿宋_GB2312" w:hAnsi="仿宋_GB2312" w:eastAsia="仿宋_GB2312" w:cs="仿宋_GB2312"/>
                <w:sz w:val="30"/>
                <w:szCs w:val="30"/>
                <w:lang w:val="en"/>
              </w:rPr>
              <w:t>禁止使用，</w:t>
            </w:r>
            <w:r>
              <w:rPr>
                <w:rFonts w:hint="eastAsia" w:ascii="仿宋_GB2312" w:hAnsi="仿宋_GB2312" w:eastAsia="仿宋_GB2312" w:cs="仿宋_GB2312"/>
                <w:sz w:val="30"/>
                <w:szCs w:val="30"/>
                <w:lang w:val="en"/>
              </w:rPr>
              <w:t>仅</w:t>
            </w:r>
            <w:r>
              <w:rPr>
                <w:rFonts w:ascii="仿宋_GB2312" w:hAnsi="仿宋_GB2312" w:eastAsia="仿宋_GB2312" w:cs="仿宋_GB2312"/>
                <w:sz w:val="30"/>
                <w:szCs w:val="30"/>
                <w:lang w:val="en"/>
              </w:rPr>
              <w:t>供境外使用</w:t>
            </w:r>
            <w:r>
              <w:rPr>
                <w:rFonts w:hint="eastAsia" w:ascii="仿宋_GB2312" w:hAnsi="仿宋_GB2312" w:eastAsia="仿宋_GB2312" w:cs="仿宋_GB2312"/>
                <w:sz w:val="30"/>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21</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对硫磷</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43</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林</w:t>
            </w:r>
            <w:r>
              <w:rPr>
                <w:rFonts w:ascii="仿宋_GB2312" w:hAnsi="仿宋_GB2312" w:eastAsia="仿宋_GB2312" w:cs="仿宋_GB2312"/>
                <w:sz w:val="30"/>
                <w:szCs w:val="30"/>
                <w:lang w:val="en"/>
              </w:rPr>
              <w:t>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22</w:t>
            </w:r>
          </w:p>
        </w:tc>
        <w:tc>
          <w:tcPr>
            <w:tcW w:w="2693"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久效磷</w:t>
            </w:r>
          </w:p>
        </w:tc>
        <w:tc>
          <w:tcPr>
            <w:tcW w:w="709"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44</w:t>
            </w:r>
          </w:p>
        </w:tc>
        <w:tc>
          <w:tcPr>
            <w:tcW w:w="4386" w:type="dxa"/>
            <w:vAlign w:val="bottom"/>
          </w:tcPr>
          <w:p>
            <w:pPr>
              <w:spacing w:line="5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硫丹</w:t>
            </w:r>
          </w:p>
        </w:tc>
      </w:tr>
    </w:tbl>
    <w:p>
      <w:pPr>
        <w:spacing w:line="520" w:lineRule="exact"/>
        <w:rPr>
          <w:rFonts w:ascii="仿宋_GB2312" w:hAnsi="仿宋_GB2312" w:eastAsia="仿宋_GB2312" w:cs="仿宋_GB2312"/>
          <w:sz w:val="32"/>
          <w:szCs w:val="32"/>
          <w:lang w:val="en"/>
        </w:rPr>
      </w:pPr>
    </w:p>
    <w:tbl>
      <w:tblPr>
        <w:tblStyle w:val="7"/>
        <w:tblW w:w="98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2030"/>
        <w:gridCol w:w="5310"/>
        <w:gridCol w:w="17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9833" w:type="dxa"/>
            <w:gridSpan w:val="4"/>
            <w:vAlign w:val="center"/>
          </w:tcPr>
          <w:p>
            <w:pPr>
              <w:spacing w:line="520" w:lineRule="exact"/>
              <w:jc w:val="center"/>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限制使用农药名录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1</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甲拌磷</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禁止用于蔬菜、果树、茶叶、中草药材、</w:t>
            </w:r>
            <w:r>
              <w:rPr>
                <w:rFonts w:ascii="仿宋_GB2312" w:hAnsi="仿宋_GB2312" w:eastAsia="仿宋_GB2312" w:cs="仿宋_GB2312"/>
                <w:sz w:val="28"/>
                <w:szCs w:val="30"/>
                <w:lang w:val="en"/>
              </w:rPr>
              <w:t>甘蔗</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2</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甲基异柳磷</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禁止用于蔬菜、果树、茶叶、中草药材、</w:t>
            </w:r>
            <w:r>
              <w:rPr>
                <w:rFonts w:ascii="仿宋_GB2312" w:hAnsi="仿宋_GB2312" w:eastAsia="仿宋_GB2312" w:cs="仿宋_GB2312"/>
                <w:sz w:val="28"/>
                <w:szCs w:val="30"/>
                <w:lang w:val="en"/>
              </w:rPr>
              <w:t>甘蔗</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3</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克百威</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禁止用于蔬菜、果树、茶叶、中草药材、</w:t>
            </w:r>
            <w:r>
              <w:rPr>
                <w:rFonts w:ascii="仿宋_GB2312" w:hAnsi="仿宋_GB2312" w:eastAsia="仿宋_GB2312" w:cs="仿宋_GB2312"/>
                <w:sz w:val="28"/>
                <w:szCs w:val="30"/>
                <w:lang w:val="en"/>
              </w:rPr>
              <w:t>甘蔗</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4</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涕灭威</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禁止用于蔬菜、果树、茶叶、中草药材</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5</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灭线磷</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禁止用于蔬菜、果树、茶叶、中草药材</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6</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氧乐果</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禁止在甘蓝、柑橘树上使用</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7</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水胺硫磷</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禁止在柑橘树上使用</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8</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灭多威</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禁止在柑橘树、苹果树、茶树、十字花科蔬菜上使用</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9</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溴甲烷</w:t>
            </w:r>
          </w:p>
        </w:tc>
        <w:tc>
          <w:tcPr>
            <w:tcW w:w="5310"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除土壤熏蒸外</w:t>
            </w:r>
            <w:r>
              <w:rPr>
                <w:rFonts w:hint="eastAsia" w:ascii="仿宋_GB2312" w:hAnsi="仿宋_GB2312" w:eastAsia="仿宋_GB2312" w:cs="仿宋_GB2312"/>
                <w:sz w:val="28"/>
                <w:szCs w:val="30"/>
                <w:lang w:val="en"/>
              </w:rPr>
              <w:t>，禁止在其他方面使用；禁止在农业上使用</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1</w:t>
            </w:r>
            <w:r>
              <w:rPr>
                <w:rFonts w:ascii="仿宋_GB2312" w:hAnsi="仿宋_GB2312" w:eastAsia="仿宋_GB2312" w:cs="仿宋_GB2312"/>
                <w:sz w:val="28"/>
                <w:szCs w:val="30"/>
                <w:lang w:val="en"/>
              </w:rPr>
              <w:t>0</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氯化苦</w:t>
            </w:r>
          </w:p>
        </w:tc>
        <w:tc>
          <w:tcPr>
            <w:tcW w:w="5310"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除土壤熏蒸外</w:t>
            </w:r>
            <w:r>
              <w:rPr>
                <w:rFonts w:hint="eastAsia" w:ascii="仿宋_GB2312" w:hAnsi="仿宋_GB2312" w:eastAsia="仿宋_GB2312" w:cs="仿宋_GB2312"/>
                <w:sz w:val="28"/>
                <w:szCs w:val="30"/>
                <w:lang w:val="en"/>
              </w:rPr>
              <w:t>，禁止在其他方面使用</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7"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1</w:t>
            </w:r>
            <w:r>
              <w:rPr>
                <w:rFonts w:ascii="仿宋_GB2312" w:hAnsi="仿宋_GB2312" w:eastAsia="仿宋_GB2312" w:cs="仿宋_GB2312"/>
                <w:sz w:val="28"/>
                <w:szCs w:val="30"/>
                <w:lang w:val="en"/>
              </w:rPr>
              <w:t>1</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C型肉毒梭菌毒素</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2"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1</w:t>
            </w:r>
            <w:r>
              <w:rPr>
                <w:rFonts w:ascii="仿宋_GB2312" w:hAnsi="仿宋_GB2312" w:eastAsia="仿宋_GB2312" w:cs="仿宋_GB2312"/>
                <w:sz w:val="28"/>
                <w:szCs w:val="30"/>
                <w:lang w:val="en"/>
              </w:rPr>
              <w:t>2</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D型肉毒梭菌毒素</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4"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1</w:t>
            </w:r>
            <w:r>
              <w:rPr>
                <w:rFonts w:ascii="仿宋_GB2312" w:hAnsi="仿宋_GB2312" w:eastAsia="仿宋_GB2312" w:cs="仿宋_GB2312"/>
                <w:sz w:val="28"/>
                <w:szCs w:val="30"/>
                <w:lang w:val="en"/>
              </w:rPr>
              <w:t>3</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氟鼠灵</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62"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1</w:t>
            </w:r>
            <w:r>
              <w:rPr>
                <w:rFonts w:ascii="仿宋_GB2312" w:hAnsi="仿宋_GB2312" w:eastAsia="仿宋_GB2312" w:cs="仿宋_GB2312"/>
                <w:sz w:val="28"/>
                <w:szCs w:val="30"/>
                <w:lang w:val="en"/>
              </w:rPr>
              <w:t>4</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敌鼠钠盐</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5"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1</w:t>
            </w:r>
            <w:r>
              <w:rPr>
                <w:rFonts w:ascii="仿宋_GB2312" w:hAnsi="仿宋_GB2312" w:eastAsia="仿宋_GB2312" w:cs="仿宋_GB2312"/>
                <w:sz w:val="28"/>
                <w:szCs w:val="30"/>
                <w:lang w:val="en"/>
              </w:rPr>
              <w:t>5</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杀鼠灵</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1</w:t>
            </w:r>
            <w:r>
              <w:rPr>
                <w:rFonts w:ascii="仿宋_GB2312" w:hAnsi="仿宋_GB2312" w:eastAsia="仿宋_GB2312" w:cs="仿宋_GB2312"/>
                <w:sz w:val="28"/>
                <w:szCs w:val="30"/>
                <w:lang w:val="en"/>
              </w:rPr>
              <w:t>6</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杀鼠醚</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5"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1</w:t>
            </w:r>
            <w:r>
              <w:rPr>
                <w:rFonts w:ascii="仿宋_GB2312" w:hAnsi="仿宋_GB2312" w:eastAsia="仿宋_GB2312" w:cs="仿宋_GB2312"/>
                <w:sz w:val="28"/>
                <w:szCs w:val="30"/>
                <w:lang w:val="en"/>
              </w:rPr>
              <w:t>7</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溴敌隆</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6"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18</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溴鼠灵</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5"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19</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磷化铝</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禁止使用除内外双层包装以外的其他包装形式的磷化铝</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实行</w:t>
            </w:r>
          </w:p>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定点经营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2</w:t>
            </w:r>
            <w:r>
              <w:rPr>
                <w:rFonts w:ascii="仿宋_GB2312" w:hAnsi="仿宋_GB2312" w:eastAsia="仿宋_GB2312" w:cs="仿宋_GB2312"/>
                <w:sz w:val="28"/>
                <w:szCs w:val="30"/>
                <w:lang w:val="en"/>
              </w:rPr>
              <w:t>0</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内吸磷</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禁止用于蔬菜、果树、茶叶、中草药材</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2</w:t>
            </w:r>
            <w:r>
              <w:rPr>
                <w:rFonts w:ascii="仿宋_GB2312" w:hAnsi="仿宋_GB2312" w:eastAsia="仿宋_GB2312" w:cs="仿宋_GB2312"/>
                <w:sz w:val="28"/>
                <w:szCs w:val="30"/>
                <w:lang w:val="en"/>
              </w:rPr>
              <w:t>1</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硫环磷</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禁止用于蔬菜、果树、茶叶、中草药材</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2</w:t>
            </w:r>
            <w:r>
              <w:rPr>
                <w:rFonts w:ascii="仿宋_GB2312" w:hAnsi="仿宋_GB2312" w:eastAsia="仿宋_GB2312" w:cs="仿宋_GB2312"/>
                <w:sz w:val="28"/>
                <w:szCs w:val="30"/>
                <w:lang w:val="en"/>
              </w:rPr>
              <w:t>2</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氯唑磷</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禁止用于蔬菜、果树、茶叶、中草药材</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2</w:t>
            </w:r>
            <w:r>
              <w:rPr>
                <w:rFonts w:ascii="仿宋_GB2312" w:hAnsi="仿宋_GB2312" w:eastAsia="仿宋_GB2312" w:cs="仿宋_GB2312"/>
                <w:sz w:val="28"/>
                <w:szCs w:val="30"/>
                <w:lang w:val="en"/>
              </w:rPr>
              <w:t>3</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氰戊菊酯</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w:t>
            </w:r>
            <w:r>
              <w:rPr>
                <w:rFonts w:ascii="仿宋_GB2312" w:hAnsi="仿宋_GB2312" w:eastAsia="仿宋_GB2312" w:cs="仿宋_GB2312"/>
                <w:sz w:val="28"/>
                <w:szCs w:val="30"/>
                <w:lang w:val="en"/>
              </w:rPr>
              <w:t>茶树</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1"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2</w:t>
            </w:r>
            <w:r>
              <w:rPr>
                <w:rFonts w:ascii="仿宋_GB2312" w:hAnsi="仿宋_GB2312" w:eastAsia="仿宋_GB2312" w:cs="仿宋_GB2312"/>
                <w:sz w:val="28"/>
                <w:szCs w:val="30"/>
                <w:lang w:val="en"/>
              </w:rPr>
              <w:t>4</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氟虫腈</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除卫生用、玉米等部分旱田种子包衣剂外，禁止在其他方面使用</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2</w:t>
            </w:r>
            <w:r>
              <w:rPr>
                <w:rFonts w:ascii="仿宋_GB2312" w:hAnsi="仿宋_GB2312" w:eastAsia="仿宋_GB2312" w:cs="仿宋_GB2312"/>
                <w:sz w:val="28"/>
                <w:szCs w:val="30"/>
                <w:lang w:val="en"/>
              </w:rPr>
              <w:t>5</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丁酰肼（比久）</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禁止在花生上使用</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19"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2</w:t>
            </w:r>
            <w:r>
              <w:rPr>
                <w:rFonts w:ascii="仿宋_GB2312" w:hAnsi="仿宋_GB2312" w:eastAsia="仿宋_GB2312" w:cs="仿宋_GB2312"/>
                <w:sz w:val="28"/>
                <w:szCs w:val="30"/>
                <w:lang w:val="en"/>
              </w:rPr>
              <w:t>6</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杀扑磷</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禁止用于柑橘（已</w:t>
            </w:r>
            <w:r>
              <w:rPr>
                <w:rFonts w:ascii="仿宋_GB2312" w:hAnsi="仿宋_GB2312" w:eastAsia="仿宋_GB2312" w:cs="仿宋_GB2312"/>
                <w:sz w:val="28"/>
                <w:szCs w:val="30"/>
                <w:lang w:val="en"/>
              </w:rPr>
              <w:t>撤销在</w:t>
            </w:r>
            <w:r>
              <w:rPr>
                <w:rFonts w:hint="eastAsia" w:ascii="仿宋_GB2312" w:hAnsi="仿宋_GB2312" w:eastAsia="仿宋_GB2312" w:cs="仿宋_GB2312"/>
                <w:sz w:val="28"/>
                <w:szCs w:val="30"/>
                <w:lang w:val="en"/>
              </w:rPr>
              <w:t>柑橘作物</w:t>
            </w:r>
            <w:r>
              <w:rPr>
                <w:rFonts w:ascii="仿宋_GB2312" w:hAnsi="仿宋_GB2312" w:eastAsia="仿宋_GB2312" w:cs="仿宋_GB2312"/>
                <w:sz w:val="28"/>
                <w:szCs w:val="30"/>
                <w:lang w:val="en"/>
              </w:rPr>
              <w:t>的农药登记</w:t>
            </w:r>
            <w:r>
              <w:rPr>
                <w:rFonts w:hint="eastAsia" w:ascii="仿宋_GB2312" w:hAnsi="仿宋_GB2312" w:eastAsia="仿宋_GB2312" w:cs="仿宋_GB2312"/>
                <w:sz w:val="28"/>
                <w:szCs w:val="30"/>
                <w:lang w:val="en"/>
              </w:rPr>
              <w:t>）</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27</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毒死蜱</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禁止用于蔬菜</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28</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三唑磷</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禁止用于蔬菜</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29</w:t>
            </w:r>
          </w:p>
        </w:tc>
        <w:tc>
          <w:tcPr>
            <w:tcW w:w="2030"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氟苯虫酰胺</w:t>
            </w:r>
          </w:p>
        </w:tc>
        <w:tc>
          <w:tcPr>
            <w:tcW w:w="53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禁止在</w:t>
            </w:r>
            <w:r>
              <w:rPr>
                <w:rFonts w:ascii="仿宋_GB2312" w:hAnsi="仿宋_GB2312" w:eastAsia="仿宋_GB2312" w:cs="仿宋_GB2312"/>
                <w:sz w:val="28"/>
                <w:szCs w:val="30"/>
                <w:lang w:val="en"/>
              </w:rPr>
              <w:t>水稻作物上使用</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2"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30</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丁硫克百威</w:t>
            </w:r>
          </w:p>
        </w:tc>
        <w:tc>
          <w:tcPr>
            <w:tcW w:w="5310"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禁止在蔬菜、瓜果、茶叶、菌类和中草药材作物上使用</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6"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31</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乐果</w:t>
            </w:r>
          </w:p>
        </w:tc>
        <w:tc>
          <w:tcPr>
            <w:tcW w:w="5310"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禁止在蔬菜、瓜果、茶叶、菌类和中草药材作物上使用</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2" w:hRule="exact"/>
          <w:jc w:val="center"/>
        </w:trPr>
        <w:tc>
          <w:tcPr>
            <w:tcW w:w="782"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32</w:t>
            </w:r>
          </w:p>
        </w:tc>
        <w:tc>
          <w:tcPr>
            <w:tcW w:w="203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乙酰甲胺磷</w:t>
            </w:r>
          </w:p>
        </w:tc>
        <w:tc>
          <w:tcPr>
            <w:tcW w:w="5310" w:type="dxa"/>
            <w:vAlign w:val="center"/>
          </w:tcPr>
          <w:p>
            <w:pPr>
              <w:spacing w:line="520" w:lineRule="exact"/>
              <w:rPr>
                <w:rFonts w:ascii="仿宋_GB2312" w:hAnsi="仿宋_GB2312" w:eastAsia="仿宋_GB2312" w:cs="仿宋_GB2312"/>
                <w:sz w:val="28"/>
                <w:szCs w:val="30"/>
                <w:lang w:val="en"/>
              </w:rPr>
            </w:pPr>
            <w:r>
              <w:rPr>
                <w:rFonts w:ascii="仿宋_GB2312" w:hAnsi="仿宋_GB2312" w:eastAsia="仿宋_GB2312" w:cs="仿宋_GB2312"/>
                <w:sz w:val="28"/>
                <w:szCs w:val="30"/>
                <w:lang w:val="en"/>
              </w:rPr>
              <w:t>禁止在蔬菜、瓜果、茶叶、菌类和中草药材作物上使用</w:t>
            </w:r>
          </w:p>
        </w:tc>
        <w:tc>
          <w:tcPr>
            <w:tcW w:w="1710" w:type="dxa"/>
            <w:vAlign w:val="center"/>
          </w:tcPr>
          <w:p>
            <w:pPr>
              <w:spacing w:line="520" w:lineRule="exact"/>
              <w:rPr>
                <w:rFonts w:ascii="仿宋_GB2312" w:hAnsi="仿宋_GB2312" w:eastAsia="仿宋_GB2312" w:cs="仿宋_GB2312"/>
                <w:sz w:val="28"/>
                <w:szCs w:val="30"/>
                <w:lang w:val="en"/>
              </w:rPr>
            </w:pPr>
            <w:r>
              <w:rPr>
                <w:rFonts w:hint="eastAsia" w:ascii="仿宋_GB2312" w:hAnsi="仿宋_GB2312" w:eastAsia="仿宋_GB2312" w:cs="仿宋_GB2312"/>
                <w:sz w:val="28"/>
                <w:szCs w:val="30"/>
                <w:lang w:val="en"/>
              </w:rPr>
              <w:t>------</w:t>
            </w:r>
          </w:p>
        </w:tc>
      </w:tr>
    </w:tbl>
    <w:p>
      <w:pPr>
        <w:spacing w:line="520" w:lineRule="exact"/>
        <w:rPr>
          <w:rFonts w:ascii="仿宋_GB2312" w:hAnsi="仿宋_GB2312" w:eastAsia="仿宋_GB2312" w:cs="仿宋_GB2312"/>
          <w:sz w:val="32"/>
          <w:szCs w:val="32"/>
          <w:lang w:val="en"/>
        </w:rPr>
      </w:pPr>
    </w:p>
    <w:p>
      <w:pPr>
        <w:spacing w:line="52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五、附件</w:t>
      </w:r>
    </w:p>
    <w:p>
      <w:pPr>
        <w:spacing w:line="520" w:lineRule="exact"/>
        <w:ind w:firstLine="640" w:firstLineChars="200"/>
        <w:outlineLvl w:val="2"/>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《农药管理条例》第三十四条</w:t>
      </w:r>
      <w:r>
        <w:rPr>
          <w:rFonts w:ascii="仿宋_GB2312" w:hAnsi="仿宋_GB2312" w:eastAsia="仿宋_GB2312" w:cs="仿宋_GB2312"/>
          <w:sz w:val="32"/>
          <w:szCs w:val="32"/>
          <w:lang w:val="en"/>
        </w:rPr>
        <w:t>规定，</w:t>
      </w:r>
      <w:r>
        <w:rPr>
          <w:rFonts w:hint="eastAsia" w:ascii="仿宋_GB2312" w:hAnsi="仿宋_GB2312" w:eastAsia="仿宋_GB2312" w:cs="仿宋_GB2312"/>
          <w:sz w:val="32"/>
          <w:szCs w:val="32"/>
          <w:lang w:val="en"/>
        </w:rPr>
        <w:t>农药使用者不得使用禁用的农药。</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《农药管理条例》</w:t>
      </w:r>
      <w:r>
        <w:rPr>
          <w:rFonts w:hint="eastAsia" w:ascii="仿宋_GB2312" w:hAnsi="仿宋_GB2312" w:eastAsia="仿宋_GB2312" w:cs="仿宋_GB2312"/>
          <w:sz w:val="32"/>
          <w:szCs w:val="32"/>
          <w:lang w:val="en" w:eastAsia="zh-CN"/>
        </w:rPr>
        <w:t>第</w:t>
      </w:r>
      <w:r>
        <w:rPr>
          <w:rFonts w:hint="eastAsia" w:ascii="仿宋_GB2312" w:hAnsi="仿宋_GB2312" w:eastAsia="仿宋_GB2312" w:cs="仿宋_GB2312"/>
          <w:sz w:val="32"/>
          <w:szCs w:val="32"/>
          <w:lang w:val="en-US" w:eastAsia="zh-CN"/>
        </w:rPr>
        <w:t>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pStyle w:val="2"/>
        <w:rPr>
          <w:rFonts w:hint="eastAsia" w:ascii="仿宋_GB2312" w:hAnsi="仿宋_GB2312" w:eastAsia="仿宋_GB2312" w:cs="仿宋_GB2312"/>
          <w:sz w:val="32"/>
          <w:szCs w:val="32"/>
          <w:lang w:val="en-US" w:eastAsia="zh-CN"/>
        </w:rPr>
      </w:pPr>
      <w:bookmarkStart w:id="1" w:name="_GoBack"/>
      <w:bookmarkEnd w:id="1"/>
      <w:r>
        <w:rPr>
          <w:rFonts w:hint="eastAsia" w:ascii="仿宋_GB2312" w:hAnsi="仿宋_GB2312" w:eastAsia="仿宋_GB2312" w:cs="仿宋_GB2312"/>
          <w:sz w:val="32"/>
          <w:szCs w:val="32"/>
          <w:lang w:val="en-US" w:eastAsia="zh-CN"/>
        </w:rPr>
        <w:t>（二）使用禁用的农药；</w:t>
      </w:r>
    </w:p>
    <w:p>
      <w:pPr>
        <w:pStyle w:val="2"/>
        <w:rPr>
          <w:rFonts w:hint="default" w:eastAsia="仿宋_GB2312"/>
          <w:lang w:val="en-US" w:eastAsia="zh-CN"/>
        </w:rPr>
      </w:pPr>
    </w:p>
    <w:p>
      <w:pPr>
        <w:spacing w:line="520" w:lineRule="exact"/>
        <w:rPr>
          <w:rFonts w:ascii="仿宋_GB2312" w:hAnsi="仿宋_GB2312" w:eastAsia="仿宋_GB2312" w:cs="仿宋_GB2312"/>
          <w:sz w:val="32"/>
          <w:szCs w:val="32"/>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D7"/>
    <w:rsid w:val="000525F0"/>
    <w:rsid w:val="001E305E"/>
    <w:rsid w:val="002C5DA9"/>
    <w:rsid w:val="003A795C"/>
    <w:rsid w:val="004774E4"/>
    <w:rsid w:val="005A2A73"/>
    <w:rsid w:val="006118D7"/>
    <w:rsid w:val="00750C86"/>
    <w:rsid w:val="00BB63B5"/>
    <w:rsid w:val="00E33848"/>
    <w:rsid w:val="0FFFBEC9"/>
    <w:rsid w:val="AF1B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2"/>
    <w:basedOn w:val="1"/>
    <w:next w:val="1"/>
    <w:link w:val="9"/>
    <w:unhideWhenUsed/>
    <w:qFormat/>
    <w:uiPriority w:val="9"/>
    <w:pPr>
      <w:keepNext/>
      <w:keepLines/>
      <w:suppressAutoHyphens w:val="0"/>
      <w:spacing w:before="260" w:after="260" w:line="416" w:lineRule="auto"/>
      <w:ind w:firstLine="420"/>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Char"/>
    <w:basedOn w:val="8"/>
    <w:link w:val="3"/>
    <w:qFormat/>
    <w:uiPriority w:val="9"/>
    <w:rPr>
      <w:rFonts w:asciiTheme="majorHAnsi" w:hAnsiTheme="majorHAnsi" w:eastAsiaTheme="majorEastAsia" w:cstheme="majorBidi"/>
      <w:b/>
      <w:bCs/>
      <w:sz w:val="32"/>
      <w:szCs w:val="32"/>
    </w:rPr>
  </w:style>
  <w:style w:type="character" w:customStyle="1" w:styleId="10">
    <w:name w:val="页眉 Char"/>
    <w:basedOn w:val="8"/>
    <w:link w:val="6"/>
    <w:qFormat/>
    <w:uiPriority w:val="99"/>
    <w:rPr>
      <w:rFonts w:ascii="Calibri" w:hAnsi="Calibri" w:eastAsia="宋体" w:cs="Times New Roman"/>
      <w:sz w:val="18"/>
      <w:szCs w:val="18"/>
    </w:rPr>
  </w:style>
  <w:style w:type="character" w:customStyle="1" w:styleId="11">
    <w:name w:val="页脚 Char"/>
    <w:basedOn w:val="8"/>
    <w:link w:val="5"/>
    <w:qFormat/>
    <w:uiPriority w:val="99"/>
    <w:rPr>
      <w:rFonts w:ascii="Calibri" w:hAnsi="Calibri" w:eastAsia="宋体" w:cs="Times New Roman"/>
      <w:sz w:val="18"/>
      <w:szCs w:val="18"/>
    </w:rPr>
  </w:style>
  <w:style w:type="character" w:customStyle="1" w:styleId="12">
    <w:name w:val="批注框文本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286</Words>
  <Characters>1634</Characters>
  <Lines>13</Lines>
  <Paragraphs>3</Paragraphs>
  <TotalTime>1</TotalTime>
  <ScaleCrop>false</ScaleCrop>
  <LinksUpToDate>false</LinksUpToDate>
  <CharactersWithSpaces>1917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2021-10-13T17:56:00Z</dcterms:created>
  <dc:creator>BGS</dc:creator>
  <cp:lastModifiedBy>nyncj</cp:lastModifiedBy>
  <cp:lastPrinted>2021-10-14T18:19:00Z</cp:lastPrinted>
  <dcterms:modified xsi:type="dcterms:W3CDTF">2022-01-14T14:27:38Z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