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仿宋_GB2312"/>
          <w:color w:val="000000" w:themeColor="text1"/>
          <w:sz w:val="32"/>
          <w:szCs w:val="32"/>
          <w:lang w:val="en"/>
          <w14:textFill>
            <w14:solidFill>
              <w14:schemeClr w14:val="tx1"/>
            </w14:solidFill>
          </w14:textFill>
        </w:rPr>
      </w:pPr>
      <w: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t>农药使用者是否将剧毒、高毒农药用于防治卫生害虫，用于蔬菜、瓜果、茶叶、菌类、中草药材生产或者用于水生植物的病虫害防治农药检查标准</w:t>
      </w:r>
    </w:p>
    <w:p>
      <w:pPr>
        <w:numPr>
          <w:ilvl w:val="0"/>
          <w:numId w:val="1"/>
        </w:numPr>
        <w:spacing w:line="52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使用者</w:t>
      </w:r>
    </w:p>
    <w:p>
      <w:pPr>
        <w:numPr>
          <w:ilvl w:val="0"/>
          <w:numId w:val="1"/>
        </w:numPr>
        <w:spacing w:line="520" w:lineRule="exact"/>
        <w:ind w:left="0" w:lef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农药使用者场所</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eastAsia="zh-CN"/>
        </w:rPr>
        <w:t>农药使用记录</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农药使用者</w:t>
      </w:r>
      <w:r>
        <w:rPr>
          <w:rFonts w:hint="eastAsia" w:ascii="仿宋_GB2312" w:hAnsi="仿宋_GB2312" w:eastAsia="仿宋_GB2312" w:cs="仿宋_GB2312"/>
          <w:sz w:val="32"/>
          <w:szCs w:val="32"/>
          <w:lang w:val="en-US" w:eastAsia="zh-CN"/>
        </w:rPr>
        <w:t>。</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spacing w:line="52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存在下列情形之一的，检查项结果为“发现问题”，应当责令改正，并立案调查。</w:t>
      </w:r>
    </w:p>
    <w:p>
      <w:pPr>
        <w:spacing w:line="52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1.农药使用者将剧毒、高毒农药用于防治卫生害虫;</w:t>
      </w:r>
    </w:p>
    <w:p>
      <w:pPr>
        <w:spacing w:line="52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2.农药使用者将剧毒、高毒农药用于蔬菜、瓜果、茶叶、菌类、中草药材生产;</w:t>
      </w:r>
    </w:p>
    <w:p>
      <w:pPr>
        <w:spacing w:line="52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3.农药使用者将剧毒、高毒农药用于水生植物的病虫害防治</w:t>
      </w:r>
    </w:p>
    <w:p>
      <w:pPr>
        <w:spacing w:line="520" w:lineRule="exact"/>
        <w:ind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卫生害虫是指那些可对人类健康产生直接或间接危害、影响人们正常生活的所有节肢动物，包括两类：昆虫纲和蛛形纲蜱亚纲。此类害虫主要有：蚊、蝇、蚤、蟑螂、臭虫、老鼠、螨类、蜱类等。</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开展检查时，</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剧毒</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高毒</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认定以</w:t>
      </w:r>
      <w:r>
        <w:rPr>
          <w:rFonts w:hint="eastAsia" w:ascii="仿宋_GB2312" w:hAnsi="仿宋_GB2312" w:eastAsia="仿宋_GB2312" w:cs="仿宋_GB2312"/>
          <w:sz w:val="32"/>
          <w:szCs w:val="32"/>
          <w:lang w:val="en"/>
        </w:rPr>
        <w:t>现场</w:t>
      </w:r>
      <w:r>
        <w:rPr>
          <w:rFonts w:ascii="仿宋_GB2312" w:hAnsi="仿宋_GB2312" w:eastAsia="仿宋_GB2312" w:cs="仿宋_GB2312"/>
          <w:sz w:val="32"/>
          <w:szCs w:val="32"/>
          <w:lang w:val="en"/>
        </w:rPr>
        <w:t>使用农药标签和说明书上标识</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剧毒</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高毒</w:t>
      </w:r>
      <w:r>
        <w:rPr>
          <w:rFonts w:hint="eastAsia" w:ascii="仿宋_GB2312" w:hAnsi="仿宋_GB2312" w:eastAsia="仿宋_GB2312" w:cs="仿宋_GB2312"/>
          <w:sz w:val="32"/>
          <w:szCs w:val="32"/>
          <w:lang w:val="en"/>
        </w:rPr>
        <w:t>”标志为准。</w:t>
      </w:r>
    </w:p>
    <w:p>
      <w:pPr>
        <w:rPr>
          <w:lang w:val="en"/>
        </w:rPr>
      </w:pPr>
      <w:r>
        <w:drawing>
          <wp:anchor distT="0" distB="0" distL="114300" distR="114300" simplePos="0" relativeHeight="251660288" behindDoc="0" locked="0" layoutInCell="1" allowOverlap="1">
            <wp:simplePos x="0" y="0"/>
            <wp:positionH relativeFrom="column">
              <wp:posOffset>2774315</wp:posOffset>
            </wp:positionH>
            <wp:positionV relativeFrom="paragraph">
              <wp:posOffset>85090</wp:posOffset>
            </wp:positionV>
            <wp:extent cx="1568450" cy="1617345"/>
            <wp:effectExtent l="0" t="0" r="12700" b="1905"/>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4">
                      <a:extLst>
                        <a:ext uri="{28A0092B-C50C-407E-A947-70E740481C1C}">
                          <a14:useLocalDpi xmlns:a14="http://schemas.microsoft.com/office/drawing/2010/main" val="false"/>
                        </a:ext>
                      </a:extLst>
                    </a:blip>
                    <a:stretch>
                      <a:fillRect/>
                    </a:stretch>
                  </pic:blipFill>
                  <pic:spPr>
                    <a:xfrm>
                      <a:off x="0" y="0"/>
                      <a:ext cx="1568450" cy="161734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642620</wp:posOffset>
            </wp:positionH>
            <wp:positionV relativeFrom="paragraph">
              <wp:posOffset>85090</wp:posOffset>
            </wp:positionV>
            <wp:extent cx="1409700" cy="1400175"/>
            <wp:effectExtent l="0" t="0" r="0" b="9525"/>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5">
                      <a:extLst>
                        <a:ext uri="{28A0092B-C50C-407E-A947-70E740481C1C}">
                          <a14:useLocalDpi xmlns:a14="http://schemas.microsoft.com/office/drawing/2010/main" val="false"/>
                        </a:ext>
                      </a:extLst>
                    </a:blip>
                    <a:stretch>
                      <a:fillRect/>
                    </a:stretch>
                  </pic:blipFill>
                  <pic:spPr>
                    <a:xfrm>
                      <a:off x="0" y="0"/>
                      <a:ext cx="1409700" cy="1400175"/>
                    </a:xfrm>
                    <a:prstGeom prst="rect">
                      <a:avLst/>
                    </a:prstGeom>
                  </pic:spPr>
                </pic:pic>
              </a:graphicData>
            </a:graphic>
          </wp:anchor>
        </w:drawing>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《农药管理条例》第三十四条规定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剧毒、高毒农药不得用于防治卫生害虫，不得用于蔬菜、瓜果、茶叶、菌类、中草药材的生产，不得用于水生植物的病虫害防治。</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《农药管理条例》第六十条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三）将剧毒、高毒农药用于防治卫生害虫，用于蔬菜、瓜果、茶叶、菌类、中草药材生产或者用于水生植物的病虫害防治。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DE"/>
    <w:rsid w:val="000F437F"/>
    <w:rsid w:val="001A12E3"/>
    <w:rsid w:val="00667087"/>
    <w:rsid w:val="007662DE"/>
    <w:rsid w:val="00AE6CF4"/>
    <w:rsid w:val="00BB63B5"/>
    <w:rsid w:val="00C44262"/>
    <w:rsid w:val="00FE7AC8"/>
    <w:rsid w:val="31FF37BD"/>
    <w:rsid w:val="5FEE691D"/>
    <w:rsid w:val="D5BA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359</Characters>
  <Lines>2</Lines>
  <Paragraphs>1</Paragraphs>
  <TotalTime>1</TotalTime>
  <ScaleCrop>false</ScaleCrop>
  <LinksUpToDate>false</LinksUpToDate>
  <CharactersWithSpaces>420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2021-10-14T01:58:00Z</dcterms:created>
  <dc:creator>BGS</dc:creator>
  <cp:lastModifiedBy>nyncj</cp:lastModifiedBy>
  <cp:lastPrinted>2021-10-15T02:20:00Z</cp:lastPrinted>
  <dcterms:modified xsi:type="dcterms:W3CDTF">2022-01-14T14:28:17Z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