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仿宋_GB2312"/>
          <w:color w:val="FF0000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农药经营者和农药包装废弃物回收站（点）是否按规定建立农药包装废弃物回收台账检查标准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农药经营者和农药包装废弃物回收站（点）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农药经营者和农药包装废弃物回收站（点）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农药包装废弃物回收台账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</w:rPr>
        <w:t>农药经营者和农药包装废弃物回收站（点）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存在下列情形之一的，检查项结果为“发现问题”，应当责令改正，并立案调查。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1.农药经营者未按规定建立农药包装废弃物回收台账；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农药包装废弃物回收站（点）未按规定建立农药包装废弃物回收台账。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检查时，检查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农药经营者和农药包装废弃物回收站（点）是否建立农药包装废弃物回收台账，是否记录农药包装废弃物的数量和去向信息。回收台账是否保存两年以上。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五、附件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农药包装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废弃物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回收处理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第十二条规定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农药经营者和农药包装废弃物回收站（点）应当建立农药包装废弃物回收台账，记录农药包装废弃物的数量和去向信息。回收台账应当保存两年以上。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2.《农药包装废弃物回收处理管理办法》第二十一条 农药经营者和农药包装废弃物回收站（点）未按规定建立农药包装废弃物回收台账的，由地方人民政府农业农村主管部门责令改正；拒不改正或者情节严重的，可处二千元以上二万元以下罚款。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D"/>
    <w:rsid w:val="000F58F6"/>
    <w:rsid w:val="007533AD"/>
    <w:rsid w:val="00A66233"/>
    <w:rsid w:val="00BB63B5"/>
    <w:rsid w:val="7EFF6DFD"/>
    <w:rsid w:val="BEFFA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2021-10-13T18:05:00Z</dcterms:created>
  <dc:creator>BGS</dc:creator>
  <cp:lastModifiedBy>nyncj</cp:lastModifiedBy>
  <dcterms:modified xsi:type="dcterms:W3CDTF">2022-01-14T14:30:54Z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