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shd w:val="clear" w:color="FFFFFF" w:fill="D9D9D9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  <w:t>职权编号：C2343500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1.检查单：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pacing w:val="-20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pacing w:val="-20"/>
          <w:sz w:val="28"/>
          <w:szCs w:val="28"/>
        </w:rPr>
        <w:t>水务025-安全生产检查单（施工单位）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pacing w:val="-2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20"/>
          <w:sz w:val="28"/>
          <w:szCs w:val="28"/>
        </w:rPr>
        <w:t>水务025-2-安全生产检查单（施工单位危险作业、安全设备、警示标志）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pacing w:val="-2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20"/>
          <w:sz w:val="28"/>
          <w:szCs w:val="28"/>
        </w:rPr>
        <w:t>水务026-安全生产检查单（其他单位）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pacing w:val="-2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20"/>
          <w:sz w:val="28"/>
          <w:szCs w:val="28"/>
        </w:rPr>
        <w:t>水务026-3-安全生产检查单（其他单位危险物品、危险作业、安全设备）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2.检查模块：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安全生产行为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3.检查项：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安全-10未对安全设备进行经常性维护、保养和定期检测（水利类） 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4.检查内容：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未对安全设备进行经常性维护、保养和定期检测（水利类）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5.检查标准：</w:t>
      </w:r>
    </w:p>
    <w:p>
      <w:pPr>
        <w:widowControl/>
        <w:spacing w:line="600" w:lineRule="exact"/>
        <w:ind w:firstLine="64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依据名称：《中华人民共和国安全生产法》(2021)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第三十六条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生产经营单位必须对安全设备进行经常性维护、保养，并定期检测，保证正常运转。维护、保养、检测应当作好记录，并由有关人员签字。</w:t>
      </w:r>
    </w:p>
    <w:p>
      <w:pPr>
        <w:widowControl/>
        <w:numPr>
          <w:ilvl w:val="0"/>
          <w:numId w:val="0"/>
        </w:numPr>
        <w:spacing w:line="600" w:lineRule="exact"/>
        <w:ind w:firstLine="642" w:firstLineChars="20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标准规范名称、编号及版本号（规章文件文号）：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 xml:space="preserve"> 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《水利水电工程施工安全管理导则》（S</w:t>
      </w:r>
      <w:r>
        <w:rPr>
          <w:rFonts w:ascii="仿宋_GB2312" w:hAnsi="仿宋_GB2312" w:eastAsia="仿宋_GB2312" w:cs="仿宋_GB2312"/>
          <w:sz w:val="32"/>
          <w:szCs w:val="32"/>
        </w:rPr>
        <w:t>L721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ascii="仿宋_GB2312" w:hAnsi="仿宋_GB2312" w:eastAsia="仿宋_GB2312" w:cs="仿宋_GB2312"/>
          <w:sz w:val="32"/>
          <w:szCs w:val="32"/>
        </w:rPr>
        <w:t>2015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widowControl/>
        <w:numPr>
          <w:ilvl w:val="0"/>
          <w:numId w:val="0"/>
        </w:numPr>
        <w:spacing w:line="600" w:lineRule="exact"/>
        <w:ind w:firstLine="642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标准规范（规章文件）条款：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9.1基 础 管 理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9.1.1施工单位应建立设施设备安全管理制度，包括购置、租赁、安装、拆除、验收、检测、使用、保养、维修、改造和报废等内容。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9.1.2施工单位应设置施工设施设备管理部门，配备管理人员明确管理职责和岗位责任，对施工设备（设施）的采购、进场、退场实行统一管理。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9.1.6施工单位应建立设施设备的安全管理台账。应记录下列内容：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1  来源、类型、数量、技术性能、使用年限等信息；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2  设施设备进场验收资料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3  使用地点、状态、责任人及检测检验、日常维修保养等信息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4  采购、租赁、改造计划及实施情况等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9.2运 行 管 理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9.2.1施工单位在设施设备运行前应进行全面检查；运行过程中应定期对安全设施、器具进行维护、更换，每周应对主要施工设备安全状况进行一次全面检查（包含停用一个月以上的起重机械在重新使用前），并做好记录，以确保其运行可靠。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 xml:space="preserve">项目法人、监理单位应定期监督检查设施设备的运行状况、人员操作情况、运行记录。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A7305"/>
    <w:multiLevelType w:val="multilevel"/>
    <w:tmpl w:val="4C9A7305"/>
    <w:lvl w:ilvl="0" w:tentative="0">
      <w:start w:val="1"/>
      <w:numFmt w:val="decimal"/>
      <w:lvlText w:val="%1"/>
      <w:lvlJc w:val="center"/>
      <w:pPr>
        <w:ind w:left="1260" w:hanging="420"/>
      </w:pPr>
      <w:rPr>
        <w:rFonts w:hint="eastAsia" w:cs="Times New Roman"/>
        <w:b/>
        <w:i w:val="0"/>
        <w:sz w:val="44"/>
      </w:rPr>
    </w:lvl>
    <w:lvl w:ilvl="1" w:tentative="0">
      <w:start w:val="1"/>
      <w:numFmt w:val="decimal"/>
      <w:pStyle w:val="2"/>
      <w:lvlText w:val="%1.%2"/>
      <w:lvlJc w:val="center"/>
      <w:pPr>
        <w:ind w:left="840" w:hanging="420"/>
      </w:pPr>
      <w:rPr>
        <w:rFonts w:hint="eastAsia" w:cs="Times New Roman"/>
        <w:b/>
        <w:i w:val="0"/>
      </w:rPr>
    </w:lvl>
    <w:lvl w:ilvl="2" w:tentative="0">
      <w:start w:val="1"/>
      <w:numFmt w:val="decimal"/>
      <w:pStyle w:val="3"/>
      <w:lvlText w:val="%1.%2.%3"/>
      <w:lvlJc w:val="left"/>
      <w:pPr>
        <w:ind w:left="1260" w:hanging="818"/>
      </w:pPr>
      <w:rPr>
        <w:rFonts w:hint="eastAsia" w:cs="Times New Roman"/>
        <w:b/>
        <w:i w:val="0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1E02FD"/>
    <w:rsid w:val="00721CC9"/>
    <w:rsid w:val="00974D10"/>
    <w:rsid w:val="9F56F791"/>
    <w:rsid w:val="BFFEC7B4"/>
    <w:rsid w:val="FB1E02FD"/>
    <w:rsid w:val="FF77D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numPr>
        <w:ilvl w:val="1"/>
        <w:numId w:val="1"/>
      </w:numPr>
      <w:spacing w:before="240" w:after="120"/>
      <w:ind w:left="0" w:firstLine="0"/>
      <w:jc w:val="center"/>
      <w:outlineLvl w:val="1"/>
    </w:pPr>
    <w:rPr>
      <w:rFonts w:ascii="Cambria" w:hAnsi="Cambria"/>
      <w:b/>
      <w:bCs/>
      <w:sz w:val="36"/>
      <w:szCs w:val="32"/>
    </w:rPr>
  </w:style>
  <w:style w:type="paragraph" w:styleId="3">
    <w:name w:val="heading 3"/>
    <w:basedOn w:val="1"/>
    <w:next w:val="1"/>
    <w:qFormat/>
    <w:uiPriority w:val="99"/>
    <w:pPr>
      <w:keepNext/>
      <w:keepLines/>
      <w:numPr>
        <w:ilvl w:val="2"/>
        <w:numId w:val="1"/>
      </w:numPr>
      <w:ind w:left="442" w:firstLine="0"/>
      <w:outlineLvl w:val="2"/>
    </w:pPr>
    <w:rPr>
      <w:bCs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Beijing JETSEN Technology Co., Ltd.</Company>
  <Pages>2</Pages>
  <Words>680</Words>
  <Characters>731</Characters>
  <Lines>5</Lines>
  <Paragraphs>1</Paragraphs>
  <TotalTime>0</TotalTime>
  <ScaleCrop>false</ScaleCrop>
  <LinksUpToDate>false</LinksUpToDate>
  <CharactersWithSpaces>749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2021-11-13T12:45:00Z</dcterms:created>
  <dc:creator>shuiwuju</dc:creator>
  <cp:lastModifiedBy>shuiwuju</cp:lastModifiedBy>
  <dcterms:modified xsi:type="dcterms:W3CDTF">2021-12-30T16:00:51Z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