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w:t>
      </w:r>
      <w:r>
        <w:rPr>
          <w:rFonts w:hint="eastAsia" w:ascii="仿宋_GB2312" w:hAnsi="仿宋_GB2312" w:eastAsia="仿宋_GB2312" w:cs="仿宋_GB2312"/>
          <w:sz w:val="32"/>
          <w:szCs w:val="32"/>
          <w:shd w:val="clear" w:color="FFFFFF" w:fill="D9D9D9"/>
        </w:rPr>
        <w:t>5600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水务025-3-安全生产检查单（施工单位宿舍、临建、围挡、专项防护措施）</w:t>
      </w:r>
    </w:p>
    <w:p>
      <w:pPr>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安全-44施工单位未对因施工可能造成损害的毗邻建筑物构筑物和地下管线等采取专项防护措施（水利项目）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施工单位未对因施工可能造成损害的毗邻建筑物构筑物和地下管线等采取专项防护措施（水利项目）。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Cs/>
          <w:sz w:val="32"/>
          <w:szCs w:val="32"/>
        </w:rPr>
        <w:t>　施工单位对因建设工程施工可能造成损害的毗邻建筑物、构筑物和地下管线等，应当采取专项防护措施。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07404D"/>
    <w:rsid w:val="00843286"/>
    <w:rsid w:val="00AA746A"/>
    <w:rsid w:val="FED77E97"/>
    <w:rsid w:val="FF07404D"/>
    <w:rsid w:val="FFF9F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41</Words>
  <Characters>238</Characters>
  <Lines>1</Lines>
  <Paragraphs>1</Paragraphs>
  <TotalTime>0</TotalTime>
  <ScaleCrop>false</ScaleCrop>
  <LinksUpToDate>false</LinksUpToDate>
  <CharactersWithSpaces>278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2021-11-12T10:07:00Z</dcterms:created>
  <dc:creator>shuiwuju</dc:creator>
  <cp:lastModifiedBy>shuiwuju</cp:lastModifiedBy>
  <dcterms:modified xsi:type="dcterms:W3CDTF">2021-12-31T09:24:36Z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