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w:t>
      </w:r>
      <w:r>
        <w:rPr>
          <w:rFonts w:hint="eastAsia" w:ascii="仿宋_GB2312" w:hAnsi="仿宋_GB2312" w:eastAsia="仿宋_GB2312" w:cs="仿宋_GB2312"/>
          <w:sz w:val="32"/>
          <w:szCs w:val="32"/>
          <w:shd w:val="clear" w:color="FFFFFF" w:fill="D9D9D9"/>
        </w:rPr>
        <w:t>5800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水务025-6-安全生产检查单（施工单位设备、设施安全）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安全-46施工单位使用未验收或验收不合格施工起重机械和整体提升脚手架模板等自升式架设设施（水利项目）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施工单位使用未验收或验收不合格施工起重机械和整体提升脚手架模板等自升式架设设施（水利项目）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bCs/>
          <w:sz w:val="32"/>
          <w:szCs w:val="32"/>
        </w:rPr>
        <w:t>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标准规范名称、编号及版本号（规章文件文号）：《水利水电工程施工安全防护设施技术规范》（S</w:t>
      </w:r>
      <w:r>
        <w:rPr>
          <w:rFonts w:ascii="仿宋_GB2312" w:hAnsi="仿宋_GB2312" w:eastAsia="仿宋_GB2312" w:cs="仿宋_GB2312"/>
          <w:sz w:val="32"/>
          <w:szCs w:val="32"/>
        </w:rPr>
        <w:t>L</w:t>
      </w:r>
      <w:r>
        <w:rPr>
          <w:rFonts w:hint="eastAsia" w:ascii="仿宋_GB2312" w:hAnsi="仿宋_GB2312" w:eastAsia="仿宋_GB2312" w:cs="仿宋_GB2312"/>
          <w:sz w:val="32"/>
          <w:szCs w:val="32"/>
        </w:rPr>
        <w:t>714-</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《水利水电工程施工安全防护设施技术规范》（S</w:t>
      </w:r>
      <w:r>
        <w:rPr>
          <w:rFonts w:ascii="仿宋_GB2312" w:hAnsi="仿宋_GB2312" w:eastAsia="仿宋_GB2312" w:cs="仿宋_GB2312"/>
          <w:sz w:val="32"/>
          <w:szCs w:val="32"/>
        </w:rPr>
        <w:t>L</w:t>
      </w:r>
      <w:r>
        <w:rPr>
          <w:rFonts w:hint="eastAsia" w:ascii="仿宋_GB2312" w:hAnsi="仿宋_GB2312" w:eastAsia="仿宋_GB2312" w:cs="仿宋_GB2312"/>
          <w:sz w:val="32"/>
          <w:szCs w:val="32"/>
        </w:rPr>
        <w:t>714-</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3.10 施工载人的提升机械与装置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3.10.1 施工现场载人的提升机械与装置安装后，应组织设计安装、使用单位有关安全、技术、质检等主管人员进行验收、试运行，经特种设备检验机构检测合格，取得安全使用证或安全标志后，方可投入使用。</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9.1 </w:t>
      </w:r>
      <w:r>
        <w:rPr>
          <w:rFonts w:hint="eastAsia" w:ascii="仿宋_GB2312" w:hAnsi="仿宋_GB2312" w:eastAsia="仿宋_GB2312" w:cs="仿宋_GB2312"/>
          <w:sz w:val="32"/>
          <w:szCs w:val="32"/>
        </w:rPr>
        <w:t>基础管理</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施工单位设施设备投入使用前，应报监理单位验收。验收合格后，方可投入使用。</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进入施工现场设施设备的牌证应齐全、有效。</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《特种设备安全法》规定的施工起重机械验收前，应经具备资质的检验检测机构检验。施工单位应自施工起重机械和整体提升脚手架模板等自升式架设设施验收合格之日起3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日内，向建设行政主管部门或者其他有关部门登记。登记、检验结果应报监理单位备案。</w:t>
      </w:r>
    </w:p>
    <w:p>
      <w:pPr>
        <w:widowControl/>
        <w:spacing w:line="600" w:lineRule="exact"/>
        <w:ind w:firstLine="640" w:firstLineChars="200"/>
        <w:rPr>
          <w:rFonts w:ascii="仿宋_GB2312" w:hAnsi="仿宋_GB2312" w:eastAsia="仿宋_GB2312" w:cs="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12334"/>
    <w:rsid w:val="00310054"/>
    <w:rsid w:val="0036434E"/>
    <w:rsid w:val="187E1BD3"/>
    <w:rsid w:val="3D9A9728"/>
    <w:rsid w:val="57F12334"/>
    <w:rsid w:val="97EFA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723</Words>
  <Characters>795</Characters>
  <Lines>5</Lines>
  <Paragraphs>1</Paragraphs>
  <TotalTime>1</TotalTime>
  <ScaleCrop>false</ScaleCrop>
  <LinksUpToDate>false</LinksUpToDate>
  <CharactersWithSpaces>801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2021-11-12T18:29:00Z</dcterms:created>
  <dc:creator>shuiwuju</dc:creator>
  <cp:lastModifiedBy>shuiwuju</cp:lastModifiedBy>
  <dcterms:modified xsi:type="dcterms:W3CDTF">2021-12-31T09:41:38Z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