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_GB2312" w:hAnsi="仿宋_GB2312" w:eastAsia="仿宋_GB2312" w:cs="仿宋_GB2312"/>
          <w:sz w:val="28"/>
          <w:szCs w:val="28"/>
          <w:shd w:val="clear" w:color="FFFFFF" w:fill="D9D9D9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shd w:val="clear" w:color="FFFFFF" w:fill="D9D9D9"/>
        </w:rPr>
        <w:t>职权编号：C23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FFFFFF" w:fill="D9D9D9"/>
          <w:lang w:val="en-US" w:eastAsia="zh-CN"/>
        </w:rPr>
        <w:t>470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FFFFFF" w:fill="D9D9D9"/>
        </w:rPr>
        <w:t>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检查单：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水务002-湿地保护检查单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水务003-水土保持检查单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水务004-水文检查单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水务006-水环境保护检查单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水务007-水工程保护检查单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水务020-水资源检查单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2.检查模块：</w:t>
      </w:r>
      <w:r>
        <w:rPr>
          <w:rFonts w:hint="eastAsia" w:ascii="仿宋_GB2312" w:hAnsi="仿宋_GB2312" w:eastAsia="仿宋_GB2312" w:cs="仿宋_GB2312"/>
          <w:sz w:val="28"/>
          <w:szCs w:val="28"/>
        </w:rPr>
        <w:t>水行政许可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3.检查项：</w:t>
      </w:r>
      <w:r>
        <w:rPr>
          <w:rFonts w:hint="eastAsia" w:ascii="仿宋_GB2312" w:hAnsi="仿宋_GB2312" w:eastAsia="仿宋_GB2312" w:cs="仿宋_GB2312"/>
          <w:sz w:val="28"/>
          <w:szCs w:val="28"/>
        </w:rPr>
        <w:t>许可-4 从事《行政许可法》第80条规定的行为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4.检查内容：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被许可人是否有涂改、倒卖、出租、出借行政许可证件的行为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被许可人是否以其他形式非法转让行政许可；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被许可人是否超越行政许可范围进行活动；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被许可人是否向负责监督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检查的行政机关隐瞒有关情况、提供虚假材料或者拒绝提供反映其活动情况的材料；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依据名称：《中华人民共和国行政许可法》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第八十条  被许可人有下列行为之一的，行政机关应当依法给予行政处罚；构成犯罪的，依法追究刑事责任：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（一）涂改、倒卖、出租、出借行政许可证件，或者以其他形式非法转让行政许可的；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（二）超越行政许可范围进行活动的；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（三）向负责监督检查的行政机关隐瞒有关情况、提供虚假材料或者拒绝提供反映其活动情况的真实材料的；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合格标准：</w:t>
      </w:r>
      <w:r>
        <w:rPr>
          <w:rFonts w:hint="eastAsia" w:ascii="仿宋_GB2312" w:hAnsi="仿宋_GB2312" w:eastAsia="仿宋_GB2312" w:cs="仿宋_GB2312"/>
          <w:sz w:val="28"/>
          <w:szCs w:val="28"/>
        </w:rPr>
        <w:t>被许可人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没有</w:t>
      </w:r>
      <w:r>
        <w:rPr>
          <w:rFonts w:hint="eastAsia" w:ascii="仿宋_GB2312" w:hAnsi="仿宋_GB2312" w:eastAsia="仿宋_GB2312" w:cs="仿宋_GB2312"/>
          <w:sz w:val="28"/>
          <w:szCs w:val="28"/>
        </w:rPr>
        <w:t>涂改、倒卖、出租、出借行政许可证件的行为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被许可人没有以其他形式非法转让行政许可；被许可人没有超越行政许可范围进行活动；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被许可人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没有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向负责监督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检查的行政机关隐瞒有关情况、提供虚假材料或者拒绝提供反映其活动情况的材料；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94B52"/>
    <w:multiLevelType w:val="singleLevel"/>
    <w:tmpl w:val="79794B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F9463"/>
    <w:rsid w:val="00B174AD"/>
    <w:rsid w:val="00DB164E"/>
    <w:rsid w:val="0B3C1F40"/>
    <w:rsid w:val="1DB70290"/>
    <w:rsid w:val="27ED55B3"/>
    <w:rsid w:val="3CA2509A"/>
    <w:rsid w:val="4ADC5B77"/>
    <w:rsid w:val="5EADEFE5"/>
    <w:rsid w:val="61DF9463"/>
    <w:rsid w:val="66F55281"/>
    <w:rsid w:val="6FBDBE69"/>
    <w:rsid w:val="7BFF472E"/>
    <w:rsid w:val="7F8BE6D7"/>
    <w:rsid w:val="7FFE17AA"/>
    <w:rsid w:val="7FFFB05F"/>
    <w:rsid w:val="97FFDF37"/>
    <w:rsid w:val="B3EFACD9"/>
    <w:rsid w:val="D5392B86"/>
    <w:rsid w:val="D7D9A544"/>
    <w:rsid w:val="F8FE3245"/>
    <w:rsid w:val="FDF92E49"/>
    <w:rsid w:val="FF6718CE"/>
    <w:rsid w:val="FFF56552"/>
    <w:rsid w:val="FF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5">
    <w:name w:val="Strong"/>
    <w:basedOn w:val="4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587</Words>
  <Characters>617</Characters>
  <Lines>4</Lines>
  <Paragraphs>1</Paragraphs>
  <TotalTime>1</TotalTime>
  <ScaleCrop>false</ScaleCrop>
  <LinksUpToDate>false</LinksUpToDate>
  <CharactersWithSpaces>630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2021-11-13T17:54:00Z</dcterms:created>
  <dc:creator>shuiwuju</dc:creator>
  <cp:lastModifiedBy>shuiwuju</cp:lastModifiedBy>
  <dcterms:modified xsi:type="dcterms:W3CDTF">2021-12-29T15:22:15Z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