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outlineLvl w:val="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w:t>
      </w:r>
      <w:r>
        <w:rPr>
          <w:rFonts w:ascii="仿宋_GB2312" w:hAnsi="仿宋_GB2312" w:eastAsia="仿宋_GB2312" w:cs="仿宋_GB2312"/>
          <w:sz w:val="32"/>
          <w:szCs w:val="32"/>
          <w:shd w:val="clear" w:color="FFFFFF" w:fill="D9D9D9"/>
        </w:rPr>
        <w:t>0</w:t>
      </w:r>
      <w:r>
        <w:rPr>
          <w:rFonts w:hint="eastAsia" w:ascii="仿宋_GB2312" w:hAnsi="仿宋_GB2312" w:eastAsia="仿宋_GB2312" w:cs="仿宋_GB2312"/>
          <w:sz w:val="32"/>
          <w:szCs w:val="32"/>
          <w:shd w:val="clear" w:color="FFFFFF" w:fill="D9D9D9"/>
        </w:rPr>
        <w:t>7500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水务021-供水检查单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b w:val="0"/>
          <w:bCs w:val="0"/>
          <w:sz w:val="32"/>
          <w:szCs w:val="32"/>
        </w:rPr>
        <w:t>供水单位（含二次、自建供水）</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供水单位-11 二次供水管理单位是否按规定对各类储水设施进行清洗消毒</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二次供水管理单位未按规定对各类储水设施进行清洗消毒</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依据名称：《城市供水水质管理规定》</w:t>
      </w:r>
    </w:p>
    <w:p>
      <w:pPr>
        <w:widowControl/>
        <w:spacing w:line="600" w:lineRule="exact"/>
        <w:ind w:firstLine="640"/>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bookmarkStart w:id="0" w:name="_GoBack"/>
      <w:bookmarkEnd w:id="0"/>
      <w:r>
        <w:rPr>
          <w:rFonts w:hint="eastAsia" w:ascii="仿宋_GB2312" w:hAnsi="仿宋_GB2312" w:eastAsia="仿宋_GB2312" w:cs="仿宋_GB2312"/>
          <w:sz w:val="32"/>
          <w:szCs w:val="32"/>
        </w:rPr>
        <w:t>依据条款：</w:t>
      </w:r>
    </w:p>
    <w:p>
      <w:pPr>
        <w:widowControl/>
        <w:spacing w:line="600" w:lineRule="exact"/>
        <w:ind w:firstLine="642"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次供水管理单位，应当建立水质管理制度，配备专（兼）职人员，加强水质管理，定期进行常规检测并对各类储水设施清洗消毒（每半年不得少于一次）。不具备相应水质检测能力的，应当委托经质量技术监督部门资质认定的水质检测机构进行现场检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206FA8"/>
    <w:rsid w:val="002B4518"/>
    <w:rsid w:val="004C3702"/>
    <w:rsid w:val="008317D1"/>
    <w:rsid w:val="009B0E1F"/>
    <w:rsid w:val="00A27465"/>
    <w:rsid w:val="00AA1DF9"/>
    <w:rsid w:val="00AC5FC3"/>
    <w:rsid w:val="00B545BF"/>
    <w:rsid w:val="00E273CF"/>
    <w:rsid w:val="00F461D5"/>
    <w:rsid w:val="777740B6"/>
    <w:rsid w:val="7F6FDB76"/>
    <w:rsid w:val="7F7742C5"/>
    <w:rsid w:val="EBEB0F47"/>
    <w:rsid w:val="F6BE0B83"/>
    <w:rsid w:val="F7BF4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51</Words>
  <Characters>296</Characters>
  <Lines>2</Lines>
  <Paragraphs>1</Paragraphs>
  <TotalTime>0</TotalTime>
  <ScaleCrop>false</ScaleCrop>
  <LinksUpToDate>false</LinksUpToDate>
  <CharactersWithSpaces>346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2021-12-05T08:21:00Z</dcterms:created>
  <dc:creator>shuiwuju</dc:creator>
  <cp:lastModifiedBy>shuiwuju</cp:lastModifiedBy>
  <dcterms:modified xsi:type="dcterms:W3CDTF">2021-12-29T16:43:08Z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