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2" w:firstLineChars="200"/>
        <w:rPr>
          <w:rFonts w:hint="eastAsia" w:ascii="仿宋_GB2312" w:hAnsi="黑体" w:eastAsia="仿宋_GB2312" w:cs="仿宋_GB2312"/>
          <w:b/>
          <w:color w:val="auto"/>
          <w:sz w:val="32"/>
          <w:szCs w:val="32"/>
          <w:shd w:val="clear" w:color="FFFFFF" w:fill="D9D9D9"/>
        </w:rPr>
      </w:pPr>
      <w:r>
        <w:rPr>
          <w:rFonts w:hint="eastAsia" w:ascii="仿宋_GB2312" w:hAnsi="黑体" w:eastAsia="仿宋_GB2312" w:cs="仿宋_GB2312"/>
          <w:b/>
          <w:color w:val="auto"/>
          <w:sz w:val="32"/>
          <w:szCs w:val="32"/>
        </w:rPr>
        <w:t>职权编号：C2316600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水务007水工程保护检查单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水工程保护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河湖-7在水库闸坝管理和保护范围内及河道湖泊保护范围内进行爆破打井采石取土等危害防洪工程设施安全活动</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在水库、闸坝管理和保护范围内以及河道、湖泊保护范围内，进行爆破、打井、采石、取土等危害防洪工程设施安全活动</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依据名称：《北京市实施〈中华人民共和国防洪法〉办法》（2019年7月26日修订版）</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 xml:space="preserve"> 违反本办法第二十条规定，在水库、闸坝管理和保护范围内以及河道、湖泊保护范围内，进行爆破、打井、采石、取土等危害防洪工程设施安全的活动的，由水行政主管部门责令停止违法行为，恢复原状或者采取其他补救措施，可以处1万元以上5万元以下罚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12BF3"/>
    <w:rsid w:val="00206FA8"/>
    <w:rsid w:val="00A27465"/>
    <w:rsid w:val="00C554AB"/>
    <w:rsid w:val="00FA1FAA"/>
    <w:rsid w:val="7F6FDB76"/>
    <w:rsid w:val="7F7742C5"/>
    <w:rsid w:val="D5DBC00D"/>
    <w:rsid w:val="EFFF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364</Words>
  <Characters>32</Characters>
  <Lines>1</Lines>
  <Paragraphs>1</Paragraphs>
  <TotalTime>0</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2021-11-12T18:05:00Z</dcterms:created>
  <dc:creator>shuiwuju</dc:creator>
  <cp:lastModifiedBy>shuiwuju</cp:lastModifiedBy>
  <dcterms:modified xsi:type="dcterms:W3CDTF">2021-12-29T15:38:52Z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