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C2318300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河湖-13 未经批准或者不按照国家规定的防洪标准、工程安全标准整治河道或者修建水工程建筑物和其他设施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未经批准或者不按照国家规定的防洪标准、工程安全标准整治河道或者修建水工程建筑物和其他设施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《中华人民共和国河道管理条例》（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2018年3月19日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修订版）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规定，有下列行为之一的，县级以上地方人民政府河道主管机关除责令其纠正违法行为、采取补救措施外，可以并处警告、罚款、没收非法所得；对有关责任人员，由其所在单位或者上级主管机关给予行政处分；构成犯罪的，依法追究刑事责任：</w:t>
      </w:r>
      <w:r>
        <w:rPr>
          <w:rFonts w:ascii="仿宋_GB2312" w:hAnsi="仿宋_GB2312" w:eastAsia="仿宋_GB2312" w:cs="仿宋_GB2312"/>
          <w:sz w:val="32"/>
          <w:szCs w:val="32"/>
        </w:rPr>
        <w:t>（三）未经批准或者不按照国家规定的防洪标准、工程安全标准整治河道或者修建水工程建筑物和其他设施的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4B0D18"/>
    <w:rsid w:val="006E64E3"/>
    <w:rsid w:val="00797192"/>
    <w:rsid w:val="00A27465"/>
    <w:rsid w:val="00B827F3"/>
    <w:rsid w:val="00C554AB"/>
    <w:rsid w:val="00F73956"/>
    <w:rsid w:val="00FA1FAA"/>
    <w:rsid w:val="7F6FDB76"/>
    <w:rsid w:val="7F7742C5"/>
    <w:rsid w:val="FB9D7244"/>
    <w:rsid w:val="FF7FD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393</Words>
  <Characters>33</Characters>
  <Lines>1</Lines>
  <Paragraphs>1</Paragraphs>
  <TotalTime>0</TotalTime>
  <ScaleCrop>false</ScaleCrop>
  <LinksUpToDate>false</LinksUpToDate>
  <CharactersWithSpaces>425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2021-12-29T15:35:58Z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