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eastAsia="仿宋_GB2312" w:cs="仿宋_GB2312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黑体" w:eastAsia="仿宋_GB2312" w:cs="仿宋_GB2312"/>
          <w:b/>
          <w:color w:val="auto"/>
          <w:sz w:val="32"/>
          <w:szCs w:val="32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2"/>
          <w:szCs w:val="32"/>
        </w:rPr>
        <w:t>C2351000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水务006-水环境保护检查单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水环境保护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河湖-33 在江河、湖泊、水库、运河、渠道内弃置、堆放阻碍行洪的物体和种植阻碍行洪的林木及高秆作物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在江河、湖泊、水库、运河、渠道内弃置、堆放阻碍行洪的物体和种植阻碍行洪的林木及高秆作物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pStyle w:val="2"/>
        <w:shd w:val="clear" w:color="auto" w:fill="FFFFFF"/>
        <w:spacing w:before="0" w:beforeAutospacing="0" w:after="0" w:afterAutospacing="0"/>
        <w:ind w:firstLine="642" w:firstLineChars="200"/>
        <w:rPr>
          <w:rFonts w:hint="eastAsia" w:ascii="����" w:hAnsi="����"/>
          <w:b w:val="0"/>
          <w:bCs w:val="0"/>
          <w:color w:val="5871B7"/>
          <w:sz w:val="23"/>
          <w:szCs w:val="23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《北京市河湖保护管理条例》（2019年7月26日修订版）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>在河湖管理范围内，禁止下列行为：(四)在行洪河道内种植有碍行洪的林木和高杆作物。</w:t>
      </w:r>
    </w:p>
    <w:p>
      <w:pPr>
        <w:ind w:firstLine="642" w:firstLineChars="200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违反本条例第十九条规定，由水行政主管部门责令停止违法行为，排除阻碍或者采取其他补救措施，有第(一)项规定行为的，处1万元以上5万元以下罚款；有其他项规定行为的，可以处5万元以下罚款，有违法所得的，没收违法所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1826D2"/>
    <w:rsid w:val="00206FA8"/>
    <w:rsid w:val="006B1CA7"/>
    <w:rsid w:val="006E64E3"/>
    <w:rsid w:val="00797192"/>
    <w:rsid w:val="0086116D"/>
    <w:rsid w:val="008C572A"/>
    <w:rsid w:val="00A27465"/>
    <w:rsid w:val="00B827F3"/>
    <w:rsid w:val="00C554AB"/>
    <w:rsid w:val="00DA7367"/>
    <w:rsid w:val="00F73956"/>
    <w:rsid w:val="00FA1FAA"/>
    <w:rsid w:val="7F6FDB76"/>
    <w:rsid w:val="7F7742C5"/>
    <w:rsid w:val="EFF789CD"/>
    <w:rsid w:val="FEED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376</Words>
  <Characters>36</Characters>
  <Lines>1</Lines>
  <Paragraphs>1</Paragraphs>
  <TotalTime>0</TotalTime>
  <ScaleCrop>false</ScaleCrop>
  <LinksUpToDate>false</LinksUpToDate>
  <CharactersWithSpaces>411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2021-11-12T18:05:00Z</dcterms:created>
  <dc:creator>shuiwuju</dc:creator>
  <cp:lastModifiedBy>shuiwuju</cp:lastModifiedBy>
  <dcterms:modified xsi:type="dcterms:W3CDTF">2021-12-29T16:09:10Z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