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C2328300</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水务022-水利工程建设管理检查单</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勘察设计资质资格</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勘设资质-1 水务建设工程勘察、设计单位超越其资质等级许可的范围承揽建设工程勘察、设计业务</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勘察、设计</w:t>
      </w:r>
      <w:bookmarkStart w:id="0" w:name="_GoBack"/>
      <w:bookmarkEnd w:id="0"/>
      <w:r>
        <w:rPr>
          <w:rFonts w:hint="eastAsia" w:ascii="仿宋_GB2312" w:hAnsi="仿宋_GB2312" w:eastAsia="仿宋_GB2312" w:cs="仿宋_GB2312"/>
          <w:sz w:val="32"/>
          <w:szCs w:val="32"/>
        </w:rPr>
        <w:t>单位是否超越本单位资质等级承揽工程</w:t>
      </w:r>
      <w:r>
        <w:rPr>
          <w:rFonts w:hint="eastAsia" w:ascii="仿宋_GB2312" w:hAnsi="仿宋_GB2312" w:eastAsia="仿宋_GB2312" w:cs="仿宋_GB2312"/>
          <w:sz w:val="32"/>
          <w:szCs w:val="32"/>
          <w:lang w:eastAsia="zh-CN"/>
        </w:rPr>
        <w:t>；或者允许其他单位或者个人以本单位名义承揽工程</w:t>
      </w:r>
    </w:p>
    <w:p>
      <w:pPr>
        <w:keepNext w:val="0"/>
        <w:keepLines w:val="0"/>
        <w:pageBreakBefore w:val="0"/>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suppressAutoHyphens/>
        <w:kinsoku/>
        <w:wordWrap/>
        <w:overflowPunct/>
        <w:topLinePunct w:val="0"/>
        <w:autoSpaceDE/>
        <w:autoSpaceDN/>
        <w:bidi w:val="0"/>
        <w:adjustRightInd/>
        <w:snapToGrid/>
        <w:spacing w:line="48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依据名称：《建设工程勘察设计管理条例》</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建设工程勘察、设计单位应当在其资质等级许可的范围内承揽建设工程勘察、设计业务。</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keepNext w:val="0"/>
        <w:keepLines w:val="0"/>
        <w:pageBreakBefore w:val="0"/>
        <w:widowControl/>
        <w:suppressAutoHyphens/>
        <w:kinsoku/>
        <w:wordWrap/>
        <w:overflowPunct/>
        <w:topLinePunct w:val="0"/>
        <w:autoSpaceDE/>
        <w:autoSpaceDN/>
        <w:bidi w:val="0"/>
        <w:adjustRightInd/>
        <w:snapToGrid/>
        <w:spacing w:line="48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依据名称：建设工程勘察设计资质管理规定（建设部令第160号）</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工程勘察资质分为工程勘察综合资质、工程勘察专业资质、工程勘察劳务资质。</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工程勘察综合资质只设甲级；工程勘察专业资质设甲级、乙级，根据工程性质和技术特点，部分专业可以设丙级；工程勘察劳务资质不分等级。</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得工程勘察综合资质的企业，可以承接各专业（海洋工程勘察除外）、各等级工程勘察业务；取得工程勘察专业资质的企业，可以承接相应等级相应专业的工程勘察业务；取得工程勘察劳务资质的企业，可以承接岩土工程治理、工程钻探、凿井等工程勘察劳务业务。</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 xml:space="preserve"> 工程设计资质分为工程设计综合资质、工程设计行业资质、工程设计专业资质和工程设计专项资质。</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工程设计综合资质只设甲级；工程设计行业资质、工程设计专业资质、工程设计专项资质设甲级、乙级。</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根据工程性质和技术特点，个别行业、专业、专项资质可以设丙级，建筑工程专业资质可以设丁级。</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p>
    <w:p>
      <w:pPr>
        <w:keepNext w:val="0"/>
        <w:keepLines w:val="0"/>
        <w:pageBreakBefore w:val="0"/>
        <w:widowControl/>
        <w:suppressAutoHyphens/>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建设工程勘察、工程设计资质标准和各资质类别、级别企业承担工程的具体范围由国务院建设主管部门商国务院有关部门制定。</w:t>
      </w:r>
    </w:p>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02"/>
    <w:rsid w:val="00150102"/>
    <w:rsid w:val="00211605"/>
    <w:rsid w:val="00430022"/>
    <w:rsid w:val="7FFF9439"/>
    <w:rsid w:val="FEF79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712</Characters>
  <Lines>5</Lines>
  <Paragraphs>1</Paragraphs>
  <TotalTime>1</TotalTime>
  <ScaleCrop>false</ScaleCrop>
  <LinksUpToDate>false</LinksUpToDate>
  <CharactersWithSpaces>835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2021-12-12T02:13:00Z</dcterms:created>
  <dc:creator>OTEC-JW</dc:creator>
  <cp:lastModifiedBy>shuiwuju</cp:lastModifiedBy>
  <dcterms:modified xsi:type="dcterms:W3CDTF">2022-01-12T13:58:39Z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