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FFFFFF" w:fill="D9D9D9"/>
        </w:rPr>
        <w:t>C2325100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：水务014-质量检查单（建设单位）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水务014-4-质量检查单（建设单位工程验收）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</w:t>
      </w:r>
      <w:r>
        <w:rPr>
          <w:rFonts w:hint="eastAsia" w:ascii="仿宋_GB2312" w:hAnsi="仿宋_GB2312" w:eastAsia="仿宋_GB2312" w:cs="仿宋_GB2312"/>
          <w:sz w:val="32"/>
          <w:szCs w:val="32"/>
        </w:rPr>
        <w:t>：工程验收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：工程验收-4 水利工程建设单位将不合格的建设工程按照合格工程验收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：水利工程建设单位将不合格的建设工程按照合格工程验收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水利工程建设项目验收管理规定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（2006年发布，2017年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第三次</w:t>
      </w:r>
      <w:r>
        <w:rPr>
          <w:rFonts w:hint="eastAsia" w:ascii="仿宋_GB2312" w:hAnsi="仿宋_GB2312" w:eastAsia="仿宋_GB2312" w:cs="仿宋_GB2312"/>
          <w:sz w:val="32"/>
          <w:szCs w:val="32"/>
        </w:rPr>
        <w:t>修正）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法人验收后，质量评定结论应当报该项目的质量监督机构核备。未经核备的，不得组织下一阶段验收。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项目法人应当自法人验收通过之日起30个工作日内，制作法人验收鉴定书，发送参加验收单位并报送法人验收监督管理机关备案。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《建设工程质量管理条例》（2019年4月23日修订版）</w:t>
      </w:r>
    </w:p>
    <w:p>
      <w:pPr>
        <w:ind w:firstLine="642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建设工程经验收合格的，方可交付使用。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37"/>
    <w:rsid w:val="00BE13E5"/>
    <w:rsid w:val="00C32B37"/>
    <w:rsid w:val="F7CCC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2021-12-13T00:13:00Z</dcterms:created>
  <dc:creator>OTEC-JW</dc:creator>
  <cp:lastModifiedBy>shuiwuju</cp:lastModifiedBy>
  <dcterms:modified xsi:type="dcterms:W3CDTF">2022-01-07T16:40:00Z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