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C2324500</w:t>
      </w:r>
    </w:p>
    <w:p>
      <w:pPr>
        <w:suppressAutoHyphens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水务014-质量检查单（建设单位）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水务014-2-质量检查单（建设单位质量行为）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建设单位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建设单位其他-1 水利工程建设单位未按照国家规定办理工程质量监督手续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水利工程建设单位是否按照国家规定办理工程质量监督手续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uppressAutoHyphens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</w:t>
      </w:r>
      <w:r>
        <w:rPr>
          <w:rFonts w:ascii="仿宋_GB2312" w:hAnsi="仿宋_GB2312" w:eastAsia="仿宋_GB2312" w:cs="仿宋_GB2312"/>
          <w:sz w:val="32"/>
          <w:szCs w:val="32"/>
        </w:rPr>
        <w:t>《水利工程质量管理规定》</w:t>
      </w:r>
    </w:p>
    <w:p>
      <w:pPr>
        <w:widowControl/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第十八条</w:t>
      </w:r>
      <w:r>
        <w:rPr>
          <w:rFonts w:ascii="仿宋_GB2312" w:hAnsi="仿宋_GB2312" w:eastAsia="仿宋_GB2312" w:cs="仿宋_GB2312"/>
          <w:sz w:val="32"/>
          <w:szCs w:val="32"/>
        </w:rPr>
        <w:t>　项目法人（建设单位）在工程开工前，应按规定向水利工程质量监督机构办理工程质量监督手续。在工程施工过程中，应主动接受质量监督机构对工程质量的监督检查。</w:t>
      </w:r>
    </w:p>
    <w:p>
      <w:pPr>
        <w:widowControl/>
        <w:suppressAutoHyphens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建设工程质量管理条例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</w:p>
    <w:p>
      <w:pPr>
        <w:widowControl/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建设单位在开工前，应当按照国家有关规定办理工程质量监督手续，工程质量监督手续可以与施工许可证或者开工报告合并办理。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02"/>
    <w:rsid w:val="001E0B02"/>
    <w:rsid w:val="00AC3761"/>
    <w:rsid w:val="3DB9DDF8"/>
    <w:rsid w:val="757B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2021-12-15T00:15:00Z</dcterms:created>
  <dc:creator>OTEC-JW</dc:creator>
  <cp:lastModifiedBy>shuiwuju</cp:lastModifiedBy>
  <dcterms:modified xsi:type="dcterms:W3CDTF">2022-01-07T15:46:24Z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