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检查项目：是否根据本单位实际情况制定涉及档案基础设施、综合管理、信息化建设等内容的综合性或专门性制度。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在口头问询基础上，查看该单位以公文形式正式制发施行的档案管理制度，是否包含档案库房管理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eastAsia="zh-CN"/>
        </w:rPr>
        <w:t>、档案移交接收、档案整理规范、档案保管管理、档案借阅利用、档案鉴定销毁、电子档案管理等内容。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如有，检查结果选是；没有，检查结果选否。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901E0"/>
    <w:rsid w:val="0C69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2022-04-21T08:45:00Z</dcterms:created>
  <dc:creator>Administrator</dc:creator>
  <cp:lastModifiedBy>Administrator</cp:lastModifiedBy>
  <dcterms:modified xsi:type="dcterms:W3CDTF">2022-04-21T08:46:14Z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