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</w:t>
      </w:r>
      <w:r>
        <w:rPr>
          <w:rFonts w:hint="eastAsia" w:ascii="仿宋" w:hAnsi="仿宋" w:eastAsia="仿宋"/>
          <w:sz w:val="32"/>
          <w:szCs w:val="32"/>
          <w:highlight w:val="none"/>
        </w:rPr>
        <w:t>各门类载体档案是否集中统一管理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</w:t>
      </w:r>
      <w:r>
        <w:rPr>
          <w:rFonts w:hint="eastAsia" w:ascii="仿宋" w:hAnsi="仿宋" w:eastAsia="仿宋"/>
          <w:sz w:val="32"/>
          <w:szCs w:val="32"/>
          <w:highlight w:val="none"/>
        </w:rPr>
        <w:t>文书、专业、会计、声像、实物档案是否集中在统一的档案库房内管理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</w:rPr>
        <w:t>会计档案可以在财务部门保管三年，三年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后</w:t>
      </w:r>
      <w:r>
        <w:rPr>
          <w:rFonts w:hint="eastAsia" w:ascii="仿宋" w:hAnsi="仿宋" w:eastAsia="仿宋"/>
          <w:sz w:val="32"/>
          <w:szCs w:val="32"/>
          <w:highlight w:val="none"/>
        </w:rPr>
        <w:t>档案应当在统一的档案库房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保管</w:t>
      </w:r>
      <w:r>
        <w:rPr>
          <w:rFonts w:hint="eastAsia" w:ascii="仿宋" w:hAnsi="仿宋" w:eastAsia="仿宋"/>
          <w:sz w:val="32"/>
          <w:szCs w:val="32"/>
          <w:highlight w:val="none"/>
        </w:rPr>
        <w:t>；声像档案应当移交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highlight w:val="none"/>
        </w:rPr>
        <w:t>档案部门集中统一管理；实物档案在专门位置进行展览展示宣传的，其目录应当在档案部门集中统一管理；部分档案集中管理确实存在困难的，目录应当在档案部门集中统一管理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。档案或者目录集中统一管理的，检查结果选是；没有集中统一管理的，检查结果选否。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103CD"/>
    <w:rsid w:val="6A6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2022-04-21T09:00:00Z</dcterms:created>
  <dc:creator>Administrator</dc:creator>
  <cp:lastModifiedBy>Administrator</cp:lastModifiedBy>
  <dcterms:modified xsi:type="dcterms:W3CDTF">2022-04-21T09:01:00Z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