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/>
          <w:b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44"/>
          <w:szCs w:val="44"/>
        </w:rPr>
        <w:t>告  知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各相关企业：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进一步加强高新技术企业认定事中事后监管，更好履行监管职责，促进我区高新技术企业高质量发展，依据科技部、财政部、国家税务总局根据科技部、财政部、国家税务总局《高新技术企业认定管理办法》（国科发火〔2016〕32号）、《高新技术企业认定管理工作指引》（国科发火〔2016〕195号）有关规定，我区在高新技术企业受理时将对企业相关数据情况进行验真审核，请申报企业如实申报相关数据。具体审核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一、企业近三年收入及纳税情况是否真实；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二、企业职工总数与缴纳社保人数是否一致；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三、企业是否具有实际经营或研发地址；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四、出具专项审计报告的中介机构是否符合高新技术企业认定管理办法》（国科发火〔2016〕32号）和《高新技术企业认定管理工作指引》（国科发火〔2016〕195号）的有关规定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如企业数据在验真审核时存疑，我区将对存疑企业组织相关专家进行实地核查，对确实存在问题的企业将不予进行专家评审，受理材料退回企业。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特此告知</w:t>
      </w:r>
      <w:r>
        <w:rPr>
          <w:rFonts w:hint="eastAsia" w:ascii="仿宋" w:hAnsi="仿宋" w:eastAsia="仿宋"/>
          <w:sz w:val="32"/>
          <w:szCs w:val="32"/>
          <w:lang w:eastAsia="zh-CN"/>
        </w:rPr>
        <w:t>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0" w:firstLineChars="125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北京市怀柔区科学技术委员会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3EE6"/>
    <w:rsid w:val="00211755"/>
    <w:rsid w:val="003C46F0"/>
    <w:rsid w:val="005D7EC0"/>
    <w:rsid w:val="00703EE6"/>
    <w:rsid w:val="00E429D1"/>
    <w:rsid w:val="13DF2620"/>
    <w:rsid w:val="8BFA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379</Characters>
  <Lines>3</Lines>
  <Paragraphs>1</Paragraphs>
  <TotalTime>21</TotalTime>
  <ScaleCrop>false</ScaleCrop>
  <LinksUpToDate>false</LinksUpToDate>
  <CharactersWithSpaces>444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2021-04-26T16:13:00Z</dcterms:created>
  <dc:creator>wanglp</dc:creator>
  <cp:lastModifiedBy>user</cp:lastModifiedBy>
  <dcterms:modified xsi:type="dcterms:W3CDTF">2026-09-03T10:40:38Z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9D4E9ADAA3B5463FAB46C391309277A9</vt:lpwstr>
  </property>
</Properties>
</file>